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rPr>
          <w:rFonts w:ascii="Times New Roman" w:hAnsi="Times New Roman"/>
          <w:b/>
          <w:sz w:val="28"/>
        </w:rPr>
        <w:t>5.1.14 功能测试</w:t>
      </w:r>
    </w:p>
    <w:p>
      <w:pPr>
        <w:jc w:val="both"/>
      </w:pPr>
      <w:r>
        <w:rPr>
          <w:rFonts w:ascii="Times New Roman" w:hAnsi="Times New Roman"/>
          <w:b/>
          <w:sz w:val="28"/>
        </w:rPr>
        <w:t>基于注意力机制的事件文本分类可解释性功能测试（GN-018）</w:t>
      </w:r>
    </w:p>
    <w:p>
      <w:pPr>
        <w:jc w:val="center"/>
      </w:pPr>
      <w:r>
        <w:rPr>
          <w:rFonts w:ascii="Times New Roman" w:hAnsi="Times New Roman"/>
          <w:sz w:val="24"/>
        </w:rPr>
        <w:t>表5-14 GN-018测试用例</w:t>
      </w:r>
    </w:p>
    <w:p/>
    <w:p/>
    <w:tbl>
      <w:tblPr>
        <w:tblW w:type="auto" w:w="0"/>
        <w:tblLook w:firstColumn="1" w:firstRow="1" w:lastColumn="0" w:lastRow="0" w:noHBand="0" w:noVBand="1" w:val="04A0"/>
      </w:tblPr>
      <w:tblGrid>
        <w:gridCol w:w="1440"/>
        <w:gridCol w:w="1440"/>
        <w:gridCol w:w="1440"/>
        <w:gridCol w:w="1440"/>
        <w:gridCol w:w="1440"/>
        <w:gridCol w:w="1440"/>
      </w:tblGrid>
      <w:tr>
        <w:tc>
          <w:tcPr>
            <w:tcW w:type="dxa" w:w="2880"/>
            <w:gridSpan w:val="2"/>
          </w:tcPr>
          <w:p>
            <w:pPr>
              <w:jc w:val="center"/>
            </w:pPr>
            <w:r>
              <w:rPr>
                <w:rFonts w:ascii="Times New Roman" w:hAnsi="Times New Roman"/>
                <w:b/>
              </w:rPr>
              <w:t>测试用例名称</w:t>
            </w:r>
          </w:p>
        </w:tc>
        <w:tc>
          <w:tcPr>
            <w:tcW w:type="dxa" w:w="5760"/>
            <w:gridSpan w:val="4"/>
          </w:tcPr>
          <w:p>
            <w:r>
              <w:rPr>
                <w:rFonts w:ascii="Times New Roman" w:hAnsi="Times New Roman"/>
              </w:rPr>
              <w:t>基于注意力机制的事件文本分类可解释性功能测试</w:t>
            </w:r>
          </w:p>
        </w:tc>
      </w:tr>
      <w:tr>
        <w:tc>
          <w:tcPr>
            <w:tcW w:type="dxa" w:w="2880"/>
            <w:gridSpan w:val="2"/>
          </w:tcPr>
          <w:p>
            <w:pPr>
              <w:jc w:val="center"/>
            </w:pPr>
            <w:r>
              <w:rPr>
                <w:rFonts w:ascii="Times New Roman" w:hAnsi="Times New Roman"/>
                <w:b/>
              </w:rPr>
              <w:t>测试用例标识</w:t>
            </w:r>
          </w:p>
        </w:tc>
        <w:tc>
          <w:tcPr>
            <w:tcW w:type="dxa" w:w="5760"/>
            <w:gridSpan w:val="4"/>
          </w:tcPr>
          <w:p>
            <w:r>
              <w:rPr>
                <w:rFonts w:ascii="Times New Roman" w:hAnsi="Times New Roman"/>
              </w:rPr>
              <w:t>GN-018</w:t>
            </w:r>
          </w:p>
        </w:tc>
      </w:tr>
      <w:tr>
        <w:tc>
          <w:tcPr>
            <w:tcW w:type="dxa" w:w="2880"/>
            <w:gridSpan w:val="2"/>
          </w:tcPr>
          <w:p>
            <w:pPr>
              <w:jc w:val="center"/>
            </w:pPr>
            <w:r>
              <w:rPr>
                <w:rFonts w:ascii="Times New Roman" w:hAnsi="Times New Roman"/>
                <w:b/>
              </w:rPr>
              <w:t>测试用例描述</w:t>
            </w:r>
          </w:p>
        </w:tc>
        <w:tc>
          <w:tcPr>
            <w:tcW w:type="dxa" w:w="5760"/>
            <w:gridSpan w:val="4"/>
          </w:tcPr>
          <w:p>
            <w:r>
              <w:rPr>
                <w:rFonts w:ascii="Times New Roman" w:hAnsi="Times New Roman"/>
              </w:rPr>
              <w:t>在事件分析系统中，针对事件摘要文本的分类任务，应用基于BERT预训练语言模型的注意力机制。BERT通过多头自注意力机制（Multi-Head Self-Attention）捕捉事件文本中不同词元之间的上下文语义关系，注意力权重反映了各词元对分类结果的贡献程度，从而为事件类型判定提供可解释性依据</w:t>
            </w:r>
          </w:p>
        </w:tc>
      </w:tr>
      <w:tr>
        <w:tc>
          <w:tcPr>
            <w:tcW w:type="dxa" w:w="2880"/>
            <w:gridSpan w:val="2"/>
          </w:tcPr>
          <w:p>
            <w:pPr>
              <w:jc w:val="center"/>
            </w:pPr>
            <w:r>
              <w:rPr>
                <w:rFonts w:ascii="Times New Roman" w:hAnsi="Times New Roman"/>
                <w:b/>
              </w:rPr>
              <w:t>涉及的指标</w:t>
            </w:r>
          </w:p>
        </w:tc>
        <w:tc>
          <w:tcPr>
            <w:tcW w:type="dxa" w:w="5760"/>
            <w:gridSpan w:val="4"/>
          </w:tcPr>
          <w:p>
            <w:r>
              <w:rPr>
                <w:rFonts w:ascii="Times New Roman" w:hAnsi="Times New Roman"/>
              </w:rPr>
              <w:t>指标1：实现4类可解释性技术——注意力机制可解释性深度学习模型（BERT），支持可解释性规则的生成</w:t>
            </w:r>
          </w:p>
        </w:tc>
      </w:tr>
      <w:tr>
        <w:tc>
          <w:tcPr>
            <w:tcW w:type="dxa" w:w="2880"/>
            <w:gridSpan w:val="2"/>
          </w:tcPr>
          <w:p>
            <w:pPr>
              <w:jc w:val="center"/>
            </w:pPr>
            <w:r>
              <w:rPr>
                <w:rFonts w:ascii="Times New Roman" w:hAnsi="Times New Roman"/>
                <w:b/>
              </w:rPr>
              <w:t>前提和约束</w:t>
            </w:r>
          </w:p>
        </w:tc>
        <w:tc>
          <w:tcPr>
            <w:tcW w:type="dxa" w:w="5760"/>
            <w:gridSpan w:val="4"/>
          </w:tcPr>
          <w:p>
            <w:r>
              <w:rPr>
                <w:rFonts w:ascii="Times New Roman" w:hAnsi="Times New Roman"/>
              </w:rPr>
              <w:t>船舶航迹可视化与事件分析系统正常运行，事件数据已加载</w:t>
            </w:r>
          </w:p>
        </w:tc>
      </w:tr>
      <w:tr>
        <w:tc>
          <w:tcPr>
            <w:tcW w:type="dxa" w:w="2880"/>
            <w:gridSpan w:val="2"/>
          </w:tcPr>
          <w:p>
            <w:pPr>
              <w:jc w:val="center"/>
            </w:pPr>
            <w:r>
              <w:rPr>
                <w:rFonts w:ascii="Times New Roman" w:hAnsi="Times New Roman"/>
                <w:b/>
              </w:rPr>
              <w:t>测试终止条件</w:t>
            </w:r>
          </w:p>
        </w:tc>
        <w:tc>
          <w:tcPr>
            <w:tcW w:type="dxa" w:w="5760"/>
            <w:gridSpan w:val="4"/>
          </w:tcPr>
          <w:p>
            <w:r>
              <w:rPr>
                <w:rFonts w:ascii="Times New Roman" w:hAnsi="Times New Roman"/>
              </w:rPr>
              <w:t>所有测试步骤执行完毕而终止，或因软件运行错误终止</w:t>
            </w:r>
          </w:p>
        </w:tc>
      </w:tr>
      <w:tr>
        <w:tc>
          <w:tcPr>
            <w:tcW w:type="dxa" w:w="8640"/>
            <w:gridSpan w:val="6"/>
          </w:tcPr>
          <w:p>
            <w:pPr>
              <w:jc w:val="center"/>
            </w:pPr>
            <w:r>
              <w:rPr>
                <w:rFonts w:ascii="Times New Roman" w:hAnsi="Times New Roman"/>
                <w:b/>
              </w:rPr>
              <w:t>测试过程</w:t>
            </w:r>
          </w:p>
        </w:tc>
      </w:tr>
      <w:tr>
        <w:tc>
          <w:tcPr>
            <w:tcW w:type="dxa" w:w="1440"/>
          </w:tcPr>
          <w:p>
            <w:pPr>
              <w:jc w:val="center"/>
            </w:pPr>
            <w:r>
              <w:rPr>
                <w:rFonts w:ascii="Times New Roman" w:hAnsi="Times New Roman"/>
                <w:b/>
              </w:rPr>
              <w:t>序号</w:t>
            </w:r>
          </w:p>
        </w:tc>
        <w:tc>
          <w:tcPr>
            <w:tcW w:type="dxa" w:w="2880"/>
            <w:gridSpan w:val="2"/>
          </w:tcPr>
          <w:p>
            <w:pPr>
              <w:jc w:val="center"/>
            </w:pPr>
            <w:r>
              <w:rPr>
                <w:rFonts w:ascii="Times New Roman" w:hAnsi="Times New Roman"/>
                <w:b/>
              </w:rPr>
              <w:t>输入及操作步骤</w:t>
            </w:r>
          </w:p>
        </w:tc>
        <w:tc>
          <w:tcPr>
            <w:tcW w:type="dxa" w:w="1440"/>
          </w:tcPr>
          <w:p>
            <w:pPr>
              <w:jc w:val="center"/>
            </w:pPr>
            <w:r>
              <w:rPr>
                <w:rFonts w:ascii="Times New Roman" w:hAnsi="Times New Roman"/>
                <w:b/>
              </w:rPr>
              <w:t>期望测试结果</w:t>
            </w:r>
          </w:p>
        </w:tc>
        <w:tc>
          <w:tcPr>
            <w:tcW w:type="dxa" w:w="1440"/>
          </w:tcPr>
          <w:p>
            <w:pPr>
              <w:jc w:val="center"/>
            </w:pPr>
            <w:r>
              <w:rPr>
                <w:rFonts w:ascii="Times New Roman" w:hAnsi="Times New Roman"/>
                <w:b/>
              </w:rPr>
              <w:t>评估准则</w:t>
            </w:r>
          </w:p>
        </w:tc>
        <w:tc>
          <w:tcPr>
            <w:tcW w:type="dxa" w:w="1440"/>
          </w:tcPr>
          <w:p>
            <w:pPr>
              <w:jc w:val="center"/>
            </w:pPr>
            <w:r>
              <w:rPr>
                <w:rFonts w:ascii="Times New Roman" w:hAnsi="Times New Roman"/>
                <w:b/>
              </w:rPr>
              <w:t>符合性判定</w:t>
              <w:br/>
              <w:t>（√或×或测试结果）</w:t>
            </w:r>
          </w:p>
        </w:tc>
      </w:tr>
      <w:tr>
        <w:tc>
          <w:tcPr>
            <w:tcW w:type="dxa" w:w="1440"/>
          </w:tcPr>
          <w:p>
            <w:pPr>
              <w:jc w:val="center"/>
            </w:pPr>
            <w:r>
              <w:rPr>
                <w:rFonts w:ascii="Times New Roman" w:hAnsi="Times New Roman"/>
              </w:rPr>
              <w:t>1</w:t>
            </w:r>
          </w:p>
        </w:tc>
        <w:tc>
          <w:tcPr>
            <w:tcW w:type="dxa" w:w="2880"/>
            <w:gridSpan w:val="2"/>
          </w:tcPr>
          <w:p>
            <w:r>
              <w:rPr>
                <w:rFonts w:ascii="Times New Roman" w:hAnsi="Times New Roman"/>
              </w:rPr>
              <w:t>打开系统页面，点击地图上一个事件点，进入深度分析面板</w:t>
            </w:r>
          </w:p>
        </w:tc>
        <w:tc>
          <w:tcPr>
            <w:tcW w:type="dxa" w:w="1440"/>
          </w:tcPr>
          <w:p>
            <w:r>
              <w:rPr>
                <w:rFonts w:ascii="Times New Roman" w:hAnsi="Times New Roman"/>
              </w:rPr>
              <w:t>面板"分析"tab默认显示事件类型卡片（如"💥 冲突"），事件类型分类结果清晰可见</w:t>
            </w:r>
          </w:p>
        </w:tc>
        <w:tc>
          <w:tcPr>
            <w:tcW w:type="dxa" w:w="1440"/>
          </w:tcPr>
          <w:p>
            <w:pPr>
              <w:jc w:val="center"/>
            </w:pPr>
            <w:r>
              <w:rPr>
                <w:rFonts w:ascii="Times New Roman" w:hAnsi="Times New Roman"/>
              </w:rPr>
              <w:t>类型分类结果可见</w:t>
            </w:r>
          </w:p>
        </w:tc>
        <w:tc>
          <w:tcPr>
            <w:tcW w:type="dxa" w:w="1440"/>
          </w:tcPr>
          <w:p>
            <w:pPr>
              <w:jc w:val="center"/>
            </w:pPr>
            <w:r>
              <w:rPr>
                <w:rFonts w:ascii="Times New Roman" w:hAnsi="Times New Roman"/>
              </w:rPr>
            </w:r>
          </w:p>
        </w:tc>
      </w:tr>
      <w:tr>
        <w:tc>
          <w:tcPr>
            <w:tcW w:type="dxa" w:w="1440"/>
          </w:tcPr>
          <w:p>
            <w:pPr>
              <w:jc w:val="center"/>
            </w:pPr>
            <w:r>
              <w:rPr>
                <w:rFonts w:ascii="Times New Roman" w:hAnsi="Times New Roman"/>
              </w:rPr>
              <w:t>2</w:t>
            </w:r>
          </w:p>
        </w:tc>
        <w:tc>
          <w:tcPr>
            <w:tcW w:type="dxa" w:w="2880"/>
            <w:gridSpan w:val="2"/>
          </w:tcPr>
          <w:p>
            <w:r>
              <w:rPr>
                <w:rFonts w:ascii="Times New Roman" w:hAnsi="Times New Roman"/>
              </w:rPr>
              <w:t>查看事件摘要文本和"关键词权重"条形图（Top12）</w:t>
            </w:r>
          </w:p>
        </w:tc>
        <w:tc>
          <w:tcPr>
            <w:tcW w:type="dxa" w:w="1440"/>
          </w:tcPr>
          <w:p>
            <w:r>
              <w:rPr>
                <w:rFonts w:ascii="Times New Roman" w:hAnsi="Times New Roman"/>
              </w:rPr>
              <w:t>条形图展示各关键词的权重分布，权重较高的关键词对BERT分类结果贡献更大，体现注意力机制的聚焦效果</w:t>
            </w:r>
          </w:p>
        </w:tc>
        <w:tc>
          <w:tcPr>
            <w:tcW w:type="dxa" w:w="1440"/>
          </w:tcPr>
          <w:p>
            <w:pPr>
              <w:jc w:val="center"/>
            </w:pPr>
            <w:r>
              <w:rPr>
                <w:rFonts w:ascii="Times New Roman" w:hAnsi="Times New Roman"/>
              </w:rPr>
              <w:t>关键词权重反映注意力分布</w:t>
            </w:r>
          </w:p>
        </w:tc>
        <w:tc>
          <w:tcPr>
            <w:tcW w:type="dxa" w:w="1440"/>
          </w:tcPr>
          <w:p>
            <w:pPr>
              <w:jc w:val="center"/>
            </w:pPr>
            <w:r>
              <w:rPr>
                <w:rFonts w:ascii="Times New Roman" w:hAnsi="Times New Roman"/>
              </w:rPr>
            </w:r>
          </w:p>
        </w:tc>
      </w:tr>
      <w:tr>
        <w:tc>
          <w:tcPr>
            <w:tcW w:type="dxa" w:w="1440"/>
          </w:tcPr>
          <w:p>
            <w:pPr>
              <w:jc w:val="center"/>
            </w:pPr>
            <w:r>
              <w:rPr>
                <w:rFonts w:ascii="Times New Roman" w:hAnsi="Times New Roman"/>
              </w:rPr>
              <w:t>3</w:t>
            </w:r>
          </w:p>
        </w:tc>
        <w:tc>
          <w:tcPr>
            <w:tcW w:type="dxa" w:w="2880"/>
            <w:gridSpan w:val="2"/>
          </w:tcPr>
          <w:p>
            <w:r>
              <w:rPr>
                <w:rFonts w:ascii="Times New Roman" w:hAnsi="Times New Roman"/>
              </w:rPr>
              <w:t>对比同区域不同类型事件的关键词分布</w:t>
            </w:r>
          </w:p>
        </w:tc>
        <w:tc>
          <w:tcPr>
            <w:tcW w:type="dxa" w:w="1440"/>
          </w:tcPr>
          <w:p>
            <w:r>
              <w:rPr>
                <w:rFonts w:ascii="Times New Roman" w:hAnsi="Times New Roman"/>
              </w:rPr>
              <w:t>抗议类事件关键词侧重"示威""游行"等，冲突类侧重"攻击""爆炸""导弹"等，说明BERT注意力成功捕捉了类型特征词</w:t>
            </w:r>
          </w:p>
        </w:tc>
        <w:tc>
          <w:tcPr>
            <w:tcW w:type="dxa" w:w="1440"/>
          </w:tcPr>
          <w:p>
            <w:pPr>
              <w:jc w:val="center"/>
            </w:pPr>
            <w:r>
              <w:rPr>
                <w:rFonts w:ascii="Times New Roman" w:hAnsi="Times New Roman"/>
              </w:rPr>
              <w:t>关键词与类型语义对应</w:t>
            </w:r>
          </w:p>
        </w:tc>
        <w:tc>
          <w:tcPr>
            <w:tcW w:type="dxa" w:w="1440"/>
          </w:tcPr>
          <w:p>
            <w:pPr>
              <w:jc w:val="center"/>
            </w:pPr>
            <w:r>
              <w:rPr>
                <w:rFonts w:ascii="Times New Roman" w:hAnsi="Times New Roman"/>
              </w:rPr>
            </w:r>
          </w:p>
        </w:tc>
      </w:tr>
      <w:tr>
        <w:tc>
          <w:tcPr>
            <w:tcW w:type="dxa" w:w="1440"/>
          </w:tcPr>
          <w:p>
            <w:pPr>
              <w:jc w:val="center"/>
            </w:pPr>
            <w:r>
              <w:rPr>
                <w:rFonts w:ascii="Times New Roman" w:hAnsi="Times New Roman"/>
              </w:rPr>
              <w:t>4</w:t>
            </w:r>
          </w:p>
        </w:tc>
        <w:tc>
          <w:tcPr>
            <w:tcW w:type="dxa" w:w="2880"/>
            <w:gridSpan w:val="2"/>
          </w:tcPr>
          <w:p>
            <w:r>
              <w:rPr>
                <w:rFonts w:ascii="Times New Roman" w:hAnsi="Times New Roman"/>
              </w:rPr>
              <w:t>查看"词云"区域中关键词的大小和颜色分布</w:t>
            </w:r>
          </w:p>
        </w:tc>
        <w:tc>
          <w:tcPr>
            <w:tcW w:type="dxa" w:w="1440"/>
          </w:tcPr>
          <w:p>
            <w:r>
              <w:rPr>
                <w:rFonts w:ascii="Times New Roman" w:hAnsi="Times New Roman"/>
              </w:rPr>
              <w:t>高频关键词字体更大、颜色更鲜艳，直观展示BERT注意力权重高的关键信息</w:t>
            </w:r>
          </w:p>
        </w:tc>
        <w:tc>
          <w:tcPr>
            <w:tcW w:type="dxa" w:w="1440"/>
          </w:tcPr>
          <w:p>
            <w:pPr>
              <w:jc w:val="center"/>
            </w:pPr>
            <w:r>
              <w:rPr>
                <w:rFonts w:ascii="Times New Roman" w:hAnsi="Times New Roman"/>
              </w:rPr>
              <w:t>词云反映注意力权重</w:t>
            </w:r>
          </w:p>
        </w:tc>
        <w:tc>
          <w:tcPr>
            <w:tcW w:type="dxa" w:w="1440"/>
          </w:tcPr>
          <w:p>
            <w:pPr>
              <w:jc w:val="center"/>
            </w:pPr>
            <w:r>
              <w:rPr>
                <w:rFonts w:ascii="Times New Roman" w:hAnsi="Times New Roman"/>
              </w:rPr>
            </w:r>
          </w:p>
        </w:tc>
      </w:tr>
      <w:tr>
        <w:tc>
          <w:tcPr>
            <w:tcW w:type="dxa" w:w="1440"/>
          </w:tcPr>
          <w:p>
            <w:pPr>
              <w:jc w:val="center"/>
            </w:pPr>
            <w:r>
              <w:rPr>
                <w:rFonts w:ascii="Times New Roman" w:hAnsi="Times New Roman"/>
              </w:rPr>
              <w:t>5</w:t>
            </w:r>
          </w:p>
        </w:tc>
        <w:tc>
          <w:tcPr>
            <w:tcW w:type="dxa" w:w="2880"/>
            <w:gridSpan w:val="2"/>
          </w:tcPr>
          <w:p>
            <w:r>
              <w:rPr>
                <w:rFonts w:ascii="Times New Roman" w:hAnsi="Times New Roman"/>
              </w:rPr>
              <w:t>切换到"因果链"tab，观察关联事件的共享关键词标签</w:t>
            </w:r>
          </w:p>
        </w:tc>
        <w:tc>
          <w:tcPr>
            <w:tcW w:type="dxa" w:w="1440"/>
          </w:tcPr>
          <w:p>
            <w:r>
              <w:rPr>
                <w:rFonts w:ascii="Times New Roman" w:hAnsi="Times New Roman"/>
              </w:rPr>
              <w:t>因果链中展示共享关键词作为关联证据（灰色标签），这些关键词正是BERT注意力机制关注的核心语义特征</w:t>
            </w:r>
          </w:p>
        </w:tc>
        <w:tc>
          <w:tcPr>
            <w:tcW w:type="dxa" w:w="1440"/>
          </w:tcPr>
          <w:p>
            <w:pPr>
              <w:jc w:val="center"/>
            </w:pPr>
            <w:r>
              <w:rPr>
                <w:rFonts w:ascii="Times New Roman" w:hAnsi="Times New Roman"/>
              </w:rPr>
              <w:t>共享关键词可作为分类证据</w:t>
            </w:r>
          </w:p>
        </w:tc>
        <w:tc>
          <w:tcPr>
            <w:tcW w:type="dxa" w:w="1440"/>
          </w:tcPr>
          <w:p>
            <w:pPr>
              <w:jc w:val="center"/>
            </w:pPr>
            <w:r>
              <w:rPr>
                <w:rFonts w:ascii="Times New Roman" w:hAnsi="Times New Roman"/>
              </w:rPr>
            </w:r>
          </w:p>
        </w:tc>
      </w:tr>
      <w:tr>
        <w:tc>
          <w:tcPr>
            <w:tcW w:type="dxa" w:w="1440"/>
          </w:tcPr>
          <w:p>
            <w:pPr>
              <w:jc w:val="center"/>
            </w:pPr>
            <w:r>
              <w:rPr>
                <w:rFonts w:ascii="Times New Roman" w:hAnsi="Times New Roman"/>
              </w:rPr>
              <w:t>6</w:t>
            </w:r>
          </w:p>
        </w:tc>
        <w:tc>
          <w:tcPr>
            <w:tcW w:type="dxa" w:w="2880"/>
            <w:gridSpan w:val="2"/>
          </w:tcPr>
          <w:p>
            <w:r>
              <w:rPr>
                <w:rFonts w:ascii="Times New Roman" w:hAnsi="Times New Roman"/>
              </w:rPr>
              <w:t>连续点击3个不同类型的事件，对比各自的类型标签和关键词分布</w:t>
            </w:r>
          </w:p>
        </w:tc>
        <w:tc>
          <w:tcPr>
            <w:tcW w:type="dxa" w:w="1440"/>
          </w:tcPr>
          <w:p>
            <w:r>
              <w:rPr>
                <w:rFonts w:ascii="Times New Roman" w:hAnsi="Times New Roman"/>
              </w:rPr>
              <w:t>不同类型事件的关键词分布和权重有明显差异，验证BERT注意力机制对不同事件类型的有效区分</w:t>
            </w:r>
          </w:p>
        </w:tc>
        <w:tc>
          <w:tcPr>
            <w:tcW w:type="dxa" w:w="1440"/>
          </w:tcPr>
          <w:p>
            <w:pPr>
              <w:jc w:val="center"/>
            </w:pPr>
            <w:r>
              <w:rPr>
                <w:rFonts w:ascii="Times New Roman" w:hAnsi="Times New Roman"/>
              </w:rPr>
              <w:t>注意力区分度可验证</w:t>
            </w:r>
          </w:p>
        </w:tc>
        <w:tc>
          <w:tcPr>
            <w:tcW w:type="dxa" w:w="1440"/>
          </w:tcPr>
          <w:p>
            <w:pPr>
              <w:jc w:val="center"/>
            </w:pPr>
            <w:r>
              <w:rPr>
                <w:rFonts w:ascii="Times New Roman" w:hAnsi="Times New Roman"/>
              </w:rPr>
            </w:r>
          </w:p>
        </w:tc>
      </w:tr>
      <w:tr>
        <w:tc>
          <w:tcPr>
            <w:tcW w:type="dxa" w:w="2880"/>
            <w:gridSpan w:val="2"/>
          </w:tcPr>
          <w:p>
            <w:pPr>
              <w:jc w:val="center"/>
            </w:pPr>
            <w:r>
              <w:rPr>
                <w:rFonts w:ascii="Times New Roman" w:hAnsi="Times New Roman"/>
                <w:b/>
              </w:rPr>
              <w:t>备    注</w:t>
            </w:r>
          </w:p>
        </w:tc>
        <w:tc>
          <w:tcPr>
            <w:tcW w:type="dxa" w:w="5760"/>
            <w:gridSpan w:val="4"/>
          </w:tcPr>
          <w:p>
            <w:r>
              <w:rPr>
                <w:rFonts w:ascii="Times New Roman" w:hAnsi="Times New Roman"/>
              </w:rPr>
              <w:t>BERT通过在大规模语料上预训练学习通用语言表示，再在下游任务上进行微调。其核心的多头自注意力机制为每个词计算与所有其他词的注意力分数，从而捕捉文本中的全局语义依赖。在事件分类场景中，BERT的注意力权重可以解释哪些关键词对最终的分类结果贡献最大。系统依赖transformers==2.8.0。</w:t>
            </w:r>
          </w:p>
        </w:tc>
      </w:tr>
      <w:tr>
        <w:tc>
          <w:tcPr>
            <w:tcW w:type="dxa" w:w="2880"/>
            <w:gridSpan w:val="2"/>
          </w:tcPr>
          <w:p>
            <w:pPr>
              <w:jc w:val="center"/>
            </w:pPr>
            <w:r>
              <w:rPr>
                <w:rFonts w:ascii="Times New Roman" w:hAnsi="Times New Roman"/>
                <w:b/>
              </w:rPr>
              <w:t>测试结论</w:t>
            </w:r>
          </w:p>
        </w:tc>
        <w:tc>
          <w:tcPr>
            <w:tcW w:type="dxa" w:w="5760"/>
            <w:gridSpan w:val="4"/>
          </w:tcPr>
          <w:p>
            <w:r>
              <w:rPr>
                <w:rFonts w:ascii="Times New Roman" w:hAnsi="Times New Roman"/>
              </w:rPr>
              <w:t xml:space="preserve">  □ 通过      □ 未通过     □ 未测试</w:t>
            </w:r>
          </w:p>
        </w:tc>
      </w:tr>
      <w:tr>
        <w:tc>
          <w:tcPr>
            <w:tcW w:type="dxa" w:w="2880"/>
            <w:gridSpan w:val="2"/>
          </w:tcPr>
          <w:p>
            <w:pPr>
              <w:jc w:val="center"/>
            </w:pPr>
            <w:r>
              <w:rPr>
                <w:rFonts w:ascii="Times New Roman" w:hAnsi="Times New Roman"/>
                <w:b/>
              </w:rPr>
              <w:t>操作人员</w:t>
            </w:r>
          </w:p>
        </w:tc>
        <w:tc>
          <w:tcPr>
            <w:tcW w:type="dxa" w:w="5760"/>
            <w:gridSpan w:val="4"/>
          </w:tcPr>
          <w:p>
            <w:r>
              <w:rPr>
                <w:rFonts w:ascii="Times New Roman" w:hAnsi="Times New Roman"/>
              </w:rPr>
            </w:r>
          </w:p>
        </w:tc>
      </w:tr>
      <w:tr>
        <w:tc>
          <w:tcPr>
            <w:tcW w:type="dxa" w:w="2880"/>
            <w:gridSpan w:val="2"/>
          </w:tcPr>
          <w:p>
            <w:pPr>
              <w:jc w:val="center"/>
            </w:pPr>
            <w:r>
              <w:rPr>
                <w:rFonts w:ascii="Times New Roman" w:hAnsi="Times New Roman"/>
                <w:b/>
              </w:rPr>
              <w:t>测试时间</w:t>
            </w:r>
          </w:p>
        </w:tc>
        <w:tc>
          <w:tcPr>
            <w:tcW w:type="dxa" w:w="5760"/>
            <w:gridSpan w:val="4"/>
          </w:tcPr>
          <w:p>
            <w:r>
              <w:rPr>
                <w:rFonts w:ascii="Times New Roman" w:hAnsi="Times New Roman"/>
              </w:rPr>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p/>
    <w:sectPr w:rsidR="00FC693F" w:rsidRPr="0006063C" w:rsidSect="00034616">
      <w:pgSz w:w="12240" w:h="15840"/>
      <w:pgMar w:top="1440" w:right="1800" w:bottom="1440" w:left="1800" w:header="720" w:footer="720" w:gutter="0"/>
      <w:cols w:space="720"/>
      <w:docGrid w:linePitch="360"/>
    </w:sectPr>
    <w:tbl>
      <w:tblPr>
        <w:tblW w:type="auto" w:w="0"/>
        <w:tblLook w:firstColumn="1" w:firstRow="1" w:lastColumn="0" w:lastRow="0" w:noHBand="0" w:noVBand="1" w:val="04A0"/>
      </w:tblPr>
      <w:tblGrid>
        <w:gridCol w:w="1440"/>
        <w:gridCol w:w="1440"/>
        <w:gridCol w:w="1440"/>
        <w:gridCol w:w="1440"/>
        <w:gridCol w:w="1440"/>
        <w:gridCol w:w="1440"/>
      </w:tblGrid>
      <w:tr>
        <w:tc>
          <w:tcPr>
            <w:tcW w:type="dxa" w:w="2880"/>
            <w:gridSpan w:val="2"/>
          </w:tcPr>
          <w:p>
            <w:pPr>
              <w:jc w:val="center"/>
            </w:pPr>
            <w:r>
              <w:rPr>
                <w:rFonts w:ascii="Times New Roman" w:hAnsi="Times New Roman"/>
                <w:b/>
              </w:rPr>
              <w:t>测试用例名称</w:t>
            </w:r>
          </w:p>
        </w:tc>
        <w:tc>
          <w:tcPr>
            <w:tcW w:type="dxa" w:w="5760"/>
            <w:gridSpan w:val="4"/>
          </w:tcPr>
          <w:p>
            <w:r>
              <w:rPr>
                <w:rFonts w:eastAsia="宋体"/>
                <w:sz w:val="20"/>
              </w:rPr>
              <w:t xml:space="preserve">金融舆情—小样本情报分析模型准确率 功能测试</w:t>
            </w:r>
          </w:p>
        </w:tc>
      </w:tr>
      <w:tr>
        <w:tc>
          <w:tcPr>
            <w:tcW w:type="dxa" w:w="2880"/>
            <w:gridSpan w:val="2"/>
          </w:tcPr>
          <w:p>
            <w:pPr>
              <w:jc w:val="center"/>
            </w:pPr>
            <w:r>
              <w:rPr>
                <w:rFonts w:ascii="Times New Roman" w:hAnsi="Times New Roman"/>
                <w:b/>
              </w:rPr>
              <w:t>测试用例标识</w:t>
            </w:r>
          </w:p>
        </w:tc>
        <w:tc>
          <w:tcPr>
            <w:tcW w:type="dxa" w:w="5760"/>
            <w:gridSpan w:val="4"/>
          </w:tcPr>
          <w:p>
            <w:r>
              <w:rPr>
                <w:rFonts w:eastAsia="宋体"/>
                <w:sz w:val="20"/>
              </w:rPr>
              <w:t xml:space="preserve">GN-005</w:t>
            </w:r>
          </w:p>
        </w:tc>
      </w:tr>
      <w:tr>
        <w:tc>
          <w:tcPr>
            <w:tcW w:type="dxa" w:w="2880"/>
            <w:gridSpan w:val="2"/>
          </w:tcPr>
          <w:p>
            <w:pPr>
              <w:jc w:val="center"/>
            </w:pPr>
            <w:r>
              <w:rPr>
                <w:rFonts w:ascii="Times New Roman" w:hAnsi="Times New Roman"/>
                <w:b/>
              </w:rPr>
              <w:t>测试用例描述</w:t>
            </w:r>
          </w:p>
        </w:tc>
        <w:tc>
          <w:tcPr>
            <w:tcW w:type="dxa" w:w="5760"/>
            <w:gridSpan w:val="4"/>
          </w:tcPr>
          <w:p>
            <w:r>
              <w:rPr>
                <w:rFonts w:eastAsia="宋体"/>
                <w:sz w:val="20"/>
              </w:rPr>
              <w:t xml:space="preserve">在金融舆情分析系统中，针对金融文本数据，应用基于BERT预训练模型的小样本事件检测功能。系统从18类金融事件类型池中自动识别文本所属的事件类别，支持单条文本检测和批量测试两种模式。批量测试从18类事件类型中随机抽取5类，每类包含不少于15条样本，自动计算整体准确率。</w:t>
            </w:r>
          </w:p>
        </w:tc>
      </w:tr>
      <w:tr>
        <w:tc>
          <w:tcPr>
            <w:tcW w:type="dxa" w:w="2880"/>
            <w:gridSpan w:val="2"/>
          </w:tcPr>
          <w:p>
            <w:pPr>
              <w:jc w:val="center"/>
            </w:pPr>
            <w:r>
              <w:rPr>
                <w:rFonts w:ascii="Times New Roman" w:hAnsi="Times New Roman"/>
                <w:b/>
              </w:rPr>
              <w:t>涉及的指标</w:t>
            </w:r>
          </w:p>
        </w:tc>
        <w:tc>
          <w:tcPr>
            <w:tcW w:type="dxa" w:w="5760"/>
            <w:gridSpan w:val="4"/>
          </w:tcPr>
          <w:p>
            <w:r>
              <w:rPr>
                <w:rFonts w:eastAsia="宋体"/>
                <w:sz w:val="20"/>
              </w:rPr>
              <w:t xml:space="preserve">指标2：小样本情报分析模型准确率≥80%（5类×15样本）——金融舆情模块：金融事件检测与分类</w:t>
            </w:r>
          </w:p>
        </w:tc>
      </w:tr>
      <w:tr>
        <w:tc>
          <w:tcPr>
            <w:tcW w:type="dxa" w:w="2880"/>
            <w:gridSpan w:val="2"/>
          </w:tcPr>
          <w:p>
            <w:pPr>
              <w:jc w:val="center"/>
            </w:pPr>
            <w:r>
              <w:rPr>
                <w:rFonts w:ascii="Times New Roman" w:hAnsi="Times New Roman"/>
                <w:b/>
              </w:rPr>
              <w:t>前提和约束</w:t>
            </w:r>
          </w:p>
        </w:tc>
        <w:tc>
          <w:tcPr>
            <w:tcW w:type="dxa" w:w="5760"/>
            <w:gridSpan w:val="4"/>
          </w:tcPr>
          <w:p>
            <w:r>
              <w:rPr>
                <w:rFonts w:eastAsia="宋体"/>
                <w:sz w:val="20"/>
              </w:rPr>
              <w:t xml:space="preserve">智能情报分析平台正常运行，金融舆情模块已加载，示例数据已就绪</w:t>
            </w:r>
          </w:p>
        </w:tc>
      </w:tr>
      <w:tr>
        <w:tc>
          <w:tcPr>
            <w:tcW w:type="dxa" w:w="2880"/>
            <w:gridSpan w:val="2"/>
          </w:tcPr>
          <w:p>
            <w:pPr>
              <w:jc w:val="center"/>
            </w:pPr>
            <w:r>
              <w:rPr>
                <w:rFonts w:ascii="Times New Roman" w:hAnsi="Times New Roman"/>
                <w:b/>
              </w:rPr>
              <w:t>测试终止条件</w:t>
            </w:r>
          </w:p>
        </w:tc>
        <w:tc>
          <w:tcPr>
            <w:tcW w:type="dxa" w:w="5760"/>
            <w:gridSpan w:val="4"/>
          </w:tcPr>
          <w:p>
            <w:r>
              <w:rPr>
                <w:rFonts w:eastAsia="宋体"/>
                <w:sz w:val="20"/>
              </w:rPr>
              <w:t xml:space="preserve">所有测试步骤执行完毕而终止，或因软件运行错误终止</w:t>
            </w:r>
          </w:p>
        </w:tc>
      </w:tr>
      <w:tr>
        <w:tc>
          <w:tcPr>
            <w:tcW w:type="dxa" w:w="8640"/>
            <w:gridSpan w:val="6"/>
          </w:tcPr>
          <w:p>
            <w:pPr>
              <w:jc w:val="center"/>
            </w:pPr>
            <w:r>
              <w:rPr>
                <w:rFonts w:eastAsia="宋体"/>
                <w:sz w:val="20"/>
              </w:rPr>
              <w:t xml:space="preserve">测试过程</w:t>
            </w:r>
          </w:p>
        </w:tc>
      </w:tr>
      <w:tr>
        <w:tc>
          <w:tcPr>
            <w:tcW w:type="dxa" w:w="1440"/>
          </w:tcPr>
          <w:p>
            <w:pPr>
              <w:jc w:val="center"/>
            </w:pPr>
            <w:r>
              <w:rPr>
                <w:rFonts w:ascii="Times New Roman" w:hAnsi="Times New Roman"/>
                <w:b/>
              </w:rPr>
              <w:t>序号</w:t>
            </w:r>
          </w:p>
        </w:tc>
        <w:tc>
          <w:tcPr>
            <w:tcW w:type="dxa" w:w="2880"/>
            <w:gridSpan w:val="2"/>
          </w:tcPr>
          <w:p>
            <w:pPr>
              <w:jc w:val="center"/>
            </w:pPr>
            <w:r>
              <w:rPr>
                <w:rFonts w:ascii="Times New Roman" w:hAnsi="Times New Roman"/>
                <w:b/>
              </w:rPr>
              <w:t>输入及操作步骤</w:t>
            </w:r>
          </w:p>
        </w:tc>
        <w:tc>
          <w:tcPr>
            <w:tcW w:type="dxa" w:w="1440"/>
          </w:tcPr>
          <w:p>
            <w:pPr>
              <w:jc w:val="center"/>
            </w:pPr>
            <w:r>
              <w:rPr>
                <w:rFonts w:ascii="Times New Roman" w:hAnsi="Times New Roman"/>
                <w:b/>
              </w:rPr>
              <w:t>期望测试结果</w:t>
            </w:r>
          </w:p>
        </w:tc>
        <w:tc>
          <w:tcPr>
            <w:tcW w:type="dxa" w:w="1440"/>
          </w:tcPr>
          <w:p>
            <w:pPr>
              <w:jc w:val="center"/>
            </w:pPr>
            <w:r>
              <w:rPr>
                <w:rFonts w:ascii="Times New Roman" w:hAnsi="Times New Roman"/>
                <w:b/>
              </w:rPr>
              <w:t>评估准则</w:t>
            </w:r>
          </w:p>
        </w:tc>
        <w:tc>
          <w:tcPr>
            <w:tcW w:type="dxa" w:w="1440"/>
          </w:tcPr>
          <w:p>
            <w:pPr>
              <w:jc w:val="center"/>
            </w:pPr>
            <w:r>
              <w:rPr>
                <w:rFonts w:ascii="Times New Roman" w:hAnsi="Times New Roman"/>
                <w:b/>
              </w:rPr>
              <w:t>符合性判定</w:t>
              <w:br/>
              <w:t>（√或×或测试结果）</w:t>
            </w:r>
          </w:p>
        </w:tc>
      </w:tr>
      <w:tr>
        <w:tc>
          <w:tcPr>
            <w:tcW w:type="dxa" w:w="1440"/>
          </w:tcPr>
          <w:p>
            <w:pPr>
              <w:jc w:val="center"/>
            </w:pPr>
            <w:r>
              <w:rPr>
                <w:rFonts w:eastAsia="宋体"/>
                <w:sz w:val="20"/>
              </w:rPr>
              <w:t xml:space="preserve">1</w:t>
            </w:r>
          </w:p>
        </w:tc>
        <w:tc>
          <w:tcPr>
            <w:tcW w:type="dxa" w:w="2880"/>
            <w:gridSpan w:val="2"/>
          </w:tcPr>
          <w:p>
            <w:r>
              <w:rPr>
                <w:rFonts w:eastAsia="宋体"/>
                <w:sz w:val="20"/>
              </w:rPr>
              <w:t xml:space="preserve">打开系统页面，点击顶部导航栏"💰 金融舆情"进入金融舆情模块</w:t>
            </w:r>
          </w:p>
        </w:tc>
        <w:tc>
          <w:tcPr>
            <w:tcW w:type="dxa" w:w="1440"/>
          </w:tcPr>
          <w:p>
            <w:r>
              <w:rPr>
                <w:rFonts w:eastAsia="宋体"/>
                <w:sz w:val="20"/>
              </w:rPr>
              <w:t xml:space="preserve">页面切换到金融舆情分析系统，显示Dashboard首页，包含小样本事件检测入口卡片</w:t>
            </w:r>
          </w:p>
        </w:tc>
        <w:tc>
          <w:tcPr>
            <w:tcW w:type="dxa" w:w="1440"/>
          </w:tcPr>
          <w:p>
            <w:pPr>
              <w:jc w:val="center"/>
            </w:pPr>
            <w:r>
              <w:rPr>
                <w:rFonts w:eastAsia="宋体"/>
                <w:sz w:val="20"/>
              </w:rPr>
              <w:t xml:space="preserve">页面正常切换，入口可见</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2</w:t>
            </w:r>
          </w:p>
        </w:tc>
        <w:tc>
          <w:tcPr>
            <w:tcW w:type="dxa" w:w="2880"/>
            <w:gridSpan w:val="2"/>
          </w:tcPr>
          <w:p>
            <w:r>
              <w:rPr>
                <w:rFonts w:eastAsia="宋体"/>
                <w:sz w:val="20"/>
              </w:rPr>
              <w:t xml:space="preserve">点击"小样本事件检测"卡片，进入事件检测页面</w:t>
            </w:r>
          </w:p>
        </w:tc>
        <w:tc>
          <w:tcPr>
            <w:tcW w:type="dxa" w:w="1440"/>
          </w:tcPr>
          <w:p>
            <w:r>
              <w:rPr>
                <w:rFonts w:eastAsia="宋体"/>
                <w:sz w:val="20"/>
              </w:rPr>
              <w:t xml:space="preserve">页面显示文本输入框、检测触发按钮和批量测试按钮</w:t>
            </w:r>
          </w:p>
        </w:tc>
        <w:tc>
          <w:tcPr>
            <w:tcW w:type="dxa" w:w="1440"/>
          </w:tcPr>
          <w:p>
            <w:pPr>
              <w:jc w:val="center"/>
            </w:pPr>
            <w:r>
              <w:rPr>
                <w:rFonts w:eastAsia="宋体"/>
                <w:sz w:val="20"/>
              </w:rPr>
              <w:t xml:space="preserve">功能页面正常加载</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3</w:t>
            </w:r>
          </w:p>
        </w:tc>
        <w:tc>
          <w:tcPr>
            <w:tcW w:type="dxa" w:w="2880"/>
            <w:gridSpan w:val="2"/>
          </w:tcPr>
          <w:p>
            <w:r>
              <w:rPr>
                <w:rFonts w:eastAsia="宋体"/>
                <w:sz w:val="20"/>
              </w:rPr>
              <w:t xml:space="preserve">点击"选择舆情数据"按钮，载入示例舆情文本（中国海油-IPO）</w:t>
            </w:r>
          </w:p>
        </w:tc>
        <w:tc>
          <w:tcPr>
            <w:tcW w:type="dxa" w:w="1440"/>
          </w:tcPr>
          <w:p>
            <w:r>
              <w:rPr>
                <w:rFonts w:eastAsia="宋体"/>
                <w:sz w:val="20"/>
              </w:rPr>
              <w:t xml:space="preserve">输入框自动填入示例文本内容，文本包含公司名称、事件描述等金融信息</w:t>
            </w:r>
          </w:p>
        </w:tc>
        <w:tc>
          <w:tcPr>
            <w:tcW w:type="dxa" w:w="1440"/>
          </w:tcPr>
          <w:p>
            <w:pPr>
              <w:jc w:val="center"/>
            </w:pPr>
            <w:r>
              <w:rPr>
                <w:rFonts w:eastAsia="宋体"/>
                <w:sz w:val="20"/>
              </w:rPr>
              <w:t xml:space="preserve">示例数据成功载入</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4</w:t>
            </w:r>
          </w:p>
        </w:tc>
        <w:tc>
          <w:tcPr>
            <w:tcW w:type="dxa" w:w="2880"/>
            <w:gridSpan w:val="2"/>
          </w:tcPr>
          <w:p>
            <w:r>
              <w:rPr>
                <w:rFonts w:eastAsia="宋体"/>
                <w:sz w:val="20"/>
              </w:rPr>
              <w:t xml:space="preserve">点击"事件检测"按钮，等待模型处理完成</w:t>
            </w:r>
          </w:p>
        </w:tc>
        <w:tc>
          <w:tcPr>
            <w:tcW w:type="dxa" w:w="1440"/>
          </w:tcPr>
          <w:p>
            <w:r>
              <w:rPr>
                <w:rFonts w:eastAsia="宋体"/>
                <w:sz w:val="20"/>
              </w:rPr>
              <w:t xml:space="preserve">系统显示"模型处理中"进度弹窗，约2.5秒后返回检测结果，展示该文本对应的金融事件类型</w:t>
            </w:r>
          </w:p>
        </w:tc>
        <w:tc>
          <w:tcPr>
            <w:tcW w:type="dxa" w:w="1440"/>
          </w:tcPr>
          <w:p>
            <w:pPr>
              <w:jc w:val="center"/>
            </w:pPr>
            <w:r>
              <w:rPr>
                <w:rFonts w:eastAsia="宋体"/>
                <w:sz w:val="20"/>
              </w:rPr>
              <w:t xml:space="preserve">事件类型正确识别</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5</w:t>
            </w:r>
          </w:p>
        </w:tc>
        <w:tc>
          <w:tcPr>
            <w:tcW w:type="dxa" w:w="2880"/>
            <w:gridSpan w:val="2"/>
          </w:tcPr>
          <w:p>
            <w:r>
              <w:rPr>
                <w:rFonts w:eastAsia="宋体"/>
                <w:sz w:val="20"/>
              </w:rPr>
              <w:t xml:space="preserve">点击"批量测试"按钮，等待批量处理完成</w:t>
            </w:r>
          </w:p>
        </w:tc>
        <w:tc>
          <w:tcPr>
            <w:tcW w:type="dxa" w:w="1440"/>
          </w:tcPr>
          <w:p>
            <w:r>
              <w:rPr>
                <w:rFonts w:eastAsia="宋体"/>
                <w:sz w:val="20"/>
              </w:rPr>
              <w:t xml:space="preserve">系统随机抽选5类事件类型，每类展示不少于15条样本的检测结果，计算并展示整体准确率≥80%</w:t>
            </w:r>
          </w:p>
        </w:tc>
        <w:tc>
          <w:tcPr>
            <w:tcW w:type="dxa" w:w="1440"/>
          </w:tcPr>
          <w:p>
            <w:pPr>
              <w:jc w:val="center"/>
            </w:pPr>
            <w:r>
              <w:rPr>
                <w:rFonts w:eastAsia="宋体"/>
                <w:sz w:val="20"/>
              </w:rPr>
              <w:t xml:space="preserve">准确率达标（≥80%）</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6</w:t>
            </w:r>
          </w:p>
        </w:tc>
        <w:tc>
          <w:tcPr>
            <w:tcW w:type="dxa" w:w="2880"/>
            <w:gridSpan w:val="2"/>
          </w:tcPr>
          <w:p>
            <w:r>
              <w:rPr>
                <w:rFonts w:eastAsia="宋体"/>
                <w:sz w:val="20"/>
              </w:rPr>
              <w:t xml:space="preserve">查看检测结果中的事件类型标签</w:t>
            </w:r>
          </w:p>
        </w:tc>
        <w:tc>
          <w:tcPr>
            <w:tcW w:type="dxa" w:w="1440"/>
          </w:tcPr>
          <w:p>
            <w:r>
              <w:rPr>
                <w:rFonts w:eastAsia="宋体"/>
                <w:sz w:val="20"/>
              </w:rPr>
              <w:t xml:space="preserve">结果以标签形式展示，如"公司名称""上市公司""IPO"等，标签颜色区分不同类型</w:t>
            </w:r>
          </w:p>
        </w:tc>
        <w:tc>
          <w:tcPr>
            <w:tcW w:type="dxa" w:w="1440"/>
          </w:tcPr>
          <w:p>
            <w:pPr>
              <w:jc w:val="center"/>
            </w:pPr>
            <w:r>
              <w:rPr>
                <w:rFonts w:eastAsia="宋体"/>
                <w:sz w:val="20"/>
              </w:rPr>
              <w:t xml:space="preserve">标签分类与原文语义一致</w:t>
            </w:r>
          </w:p>
        </w:tc>
        <w:tc>
          <w:tcPr>
            <w:tcW w:type="dxa" w:w="1440"/>
          </w:tcPr>
          <w:p>
            <w:pPr>
              <w:jc w:val="center"/>
            </w:pPr>
            <w:r>
              <w:rPr>
                <w:rFonts w:eastAsia="宋体"/>
                <w:sz w:val="20"/>
              </w:rPr>
              <w:t xml:space="preserve"/>
            </w:r>
          </w:p>
        </w:tc>
      </w:tr>
      <w:tr>
        <w:tc>
          <w:tcPr>
            <w:tcW w:type="dxa" w:w="2880"/>
            <w:gridSpan w:val="2"/>
          </w:tcPr>
          <w:p>
            <w:pPr>
              <w:jc w:val="center"/>
            </w:pPr>
            <w:r>
              <w:rPr>
                <w:rFonts w:ascii="Times New Roman" w:hAnsi="Times New Roman"/>
                <w:b/>
              </w:rPr>
              <w:t>备    注</w:t>
            </w:r>
          </w:p>
        </w:tc>
        <w:tc>
          <w:tcPr>
            <w:tcW w:type="dxa" w:w="5760"/>
            <w:gridSpan w:val="4"/>
          </w:tcPr>
          <w:p>
            <w:r>
              <w:rPr>
                <w:rFonts w:eastAsia="宋体"/>
                <w:sz w:val="20"/>
              </w:rPr>
              <w:t xml:space="preserve">系统基于BERT预训练模型实现小样本事件检测。BERT通过在大规模语料上预训练学习通用语言表示，在小样本场景下通过微调即可快速适配新的事件类型分类任务。批量测试覆盖5类事件类型，每类不少于15条样本，确保小样本条件下的检测准确率≥80%。</w:t>
            </w:r>
          </w:p>
        </w:tc>
      </w:tr>
      <w:tr>
        <w:tc>
          <w:tcPr>
            <w:tcW w:type="dxa" w:w="2880"/>
            <w:gridSpan w:val="2"/>
          </w:tcPr>
          <w:p>
            <w:pPr>
              <w:jc w:val="center"/>
            </w:pPr>
            <w:r>
              <w:rPr>
                <w:rFonts w:ascii="Times New Roman" w:hAnsi="Times New Roman"/>
                <w:b/>
              </w:rPr>
              <w:t>测试结论</w:t>
            </w:r>
          </w:p>
        </w:tc>
        <w:tc>
          <w:tcPr>
            <w:tcW w:type="dxa" w:w="5760"/>
            <w:gridSpan w:val="4"/>
          </w:tcPr>
          <w:p>
            <w:r>
              <w:rPr>
                <w:rFonts w:eastAsia="宋体"/>
                <w:sz w:val="20"/>
              </w:rPr>
              <w:t xml:space="preserve">  □ 通过      □ 未通过     □ 未测试</w:t>
            </w:r>
          </w:p>
        </w:tc>
      </w:tr>
      <w:tr>
        <w:tc>
          <w:tcPr>
            <w:tcW w:type="dxa" w:w="2880"/>
            <w:gridSpan w:val="2"/>
          </w:tcPr>
          <w:p>
            <w:pPr>
              <w:jc w:val="center"/>
            </w:pPr>
            <w:r>
              <w:rPr>
                <w:rFonts w:ascii="Times New Roman" w:hAnsi="Times New Roman"/>
                <w:b/>
              </w:rPr>
              <w:t>操作人员</w:t>
            </w:r>
          </w:p>
        </w:tc>
        <w:tc>
          <w:tcPr>
            <w:tcW w:type="dxa" w:w="5760"/>
            <w:gridSpan w:val="4"/>
          </w:tcPr>
          <w:p>
            <w:r>
              <w:rPr>
                <w:rFonts w:ascii="Times New Roman" w:hAnsi="Times New Roman"/>
              </w:rPr>
            </w:r>
          </w:p>
        </w:tc>
      </w:tr>
      <w:tr>
        <w:tc>
          <w:tcPr>
            <w:tcW w:type="dxa" w:w="2880"/>
            <w:gridSpan w:val="2"/>
          </w:tcPr>
          <w:p>
            <w:pPr>
              <w:jc w:val="center"/>
            </w:pPr>
            <w:r>
              <w:rPr>
                <w:rFonts w:ascii="Times New Roman" w:hAnsi="Times New Roman"/>
                <w:b/>
              </w:rPr>
              <w:t>测试时间</w:t>
            </w:r>
          </w:p>
        </w:tc>
        <w:tc>
          <w:tcPr>
            <w:tcW w:type="dxa" w:w="5760"/>
            <w:gridSpan w:val="4"/>
          </w:tcPr>
          <w:p>
            <w:r>
              <w:rPr>
                <w:rFonts w:ascii="Times New Roman" w:hAnsi="Times New Roman"/>
              </w:rPr>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p>
      <w:r>
        <w:br w:type="page"/>
      </w:r>
    </w:p>
    <w:tbl>
      <w:tblPr>
        <w:tblW w:type="auto" w:w="0"/>
        <w:tblLook w:firstColumn="1" w:firstRow="1" w:lastColumn="0" w:lastRow="0" w:noHBand="0" w:noVBand="1" w:val="04A0"/>
      </w:tblPr>
      <w:tblGrid>
        <w:gridCol w:w="1440"/>
        <w:gridCol w:w="1440"/>
        <w:gridCol w:w="1440"/>
        <w:gridCol w:w="1440"/>
        <w:gridCol w:w="1440"/>
        <w:gridCol w:w="1440"/>
      </w:tblGrid>
      <w:tr>
        <w:tc>
          <w:tcPr>
            <w:tcW w:type="dxa" w:w="2880"/>
            <w:gridSpan w:val="2"/>
          </w:tcPr>
          <w:p>
            <w:pPr>
              <w:jc w:val="center"/>
            </w:pPr>
            <w:r>
              <w:rPr>
                <w:rFonts w:ascii="Times New Roman" w:hAnsi="Times New Roman"/>
                <w:b/>
              </w:rPr>
              <w:t>测试用例名称</w:t>
            </w:r>
          </w:p>
        </w:tc>
        <w:tc>
          <w:tcPr>
            <w:tcW w:type="dxa" w:w="5760"/>
            <w:gridSpan w:val="4"/>
          </w:tcPr>
          <w:p>
            <w:r>
              <w:rPr>
                <w:rFonts w:eastAsia="宋体"/>
                <w:sz w:val="20"/>
              </w:rPr>
              <w:t xml:space="preserve">金融舆情—事件演化趋势预测研判 功能测试</w:t>
            </w:r>
          </w:p>
        </w:tc>
      </w:tr>
      <w:tr>
        <w:tc>
          <w:tcPr>
            <w:tcW w:type="dxa" w:w="2880"/>
            <w:gridSpan w:val="2"/>
          </w:tcPr>
          <w:p>
            <w:pPr>
              <w:jc w:val="center"/>
            </w:pPr>
            <w:r>
              <w:rPr>
                <w:rFonts w:ascii="Times New Roman" w:hAnsi="Times New Roman"/>
                <w:b/>
              </w:rPr>
              <w:t>测试用例标识</w:t>
            </w:r>
          </w:p>
        </w:tc>
        <w:tc>
          <w:tcPr>
            <w:tcW w:type="dxa" w:w="5760"/>
            <w:gridSpan w:val="4"/>
          </w:tcPr>
          <w:p>
            <w:r>
              <w:rPr>
                <w:rFonts w:eastAsia="宋体"/>
                <w:sz w:val="20"/>
              </w:rPr>
              <w:t xml:space="preserve">GN-011</w:t>
            </w:r>
          </w:p>
        </w:tc>
      </w:tr>
      <w:tr>
        <w:tc>
          <w:tcPr>
            <w:tcW w:type="dxa" w:w="2880"/>
            <w:gridSpan w:val="2"/>
          </w:tcPr>
          <w:p>
            <w:pPr>
              <w:jc w:val="center"/>
            </w:pPr>
            <w:r>
              <w:rPr>
                <w:rFonts w:ascii="Times New Roman" w:hAnsi="Times New Roman"/>
                <w:b/>
              </w:rPr>
              <w:t>测试用例描述</w:t>
            </w:r>
          </w:p>
        </w:tc>
        <w:tc>
          <w:tcPr>
            <w:tcW w:type="dxa" w:w="5760"/>
            <w:gridSpan w:val="4"/>
          </w:tcPr>
          <w:p>
            <w:r>
              <w:rPr>
                <w:rFonts w:eastAsia="宋体"/>
                <w:sz w:val="20"/>
              </w:rPr>
              <w:t xml:space="preserve">在金融舆情分析系统中，针对Economy数据集的月度国际贸易差额数据，应用深度学习时间序列预测模型，对事件演化趋势进行预测研判。系统基于前8个月的历史观测值，预测未来8~12个月的贸易差额走势，并与真实值进行对比验证。</w:t>
            </w:r>
          </w:p>
        </w:tc>
      </w:tr>
      <w:tr>
        <w:tc>
          <w:tcPr>
            <w:tcW w:type="dxa" w:w="2880"/>
            <w:gridSpan w:val="2"/>
          </w:tcPr>
          <w:p>
            <w:pPr>
              <w:jc w:val="center"/>
            </w:pPr>
            <w:r>
              <w:rPr>
                <w:rFonts w:ascii="Times New Roman" w:hAnsi="Times New Roman"/>
                <w:b/>
              </w:rPr>
              <w:t>涉及的指标</w:t>
            </w:r>
          </w:p>
        </w:tc>
        <w:tc>
          <w:tcPr>
            <w:tcW w:type="dxa" w:w="5760"/>
            <w:gridSpan w:val="4"/>
          </w:tcPr>
          <w:p>
            <w:r>
              <w:rPr>
                <w:rFonts w:eastAsia="宋体"/>
                <w:sz w:val="20"/>
              </w:rPr>
              <w:t xml:space="preserve">指标4-⑤：事件演化趋势预测研判——金融舆情模块：金融贸易差额趋势预测</w:t>
            </w:r>
          </w:p>
        </w:tc>
      </w:tr>
      <w:tr>
        <w:tc>
          <w:tcPr>
            <w:tcW w:type="dxa" w:w="2880"/>
            <w:gridSpan w:val="2"/>
          </w:tcPr>
          <w:p>
            <w:pPr>
              <w:jc w:val="center"/>
            </w:pPr>
            <w:r>
              <w:rPr>
                <w:rFonts w:ascii="Times New Roman" w:hAnsi="Times New Roman"/>
                <w:b/>
              </w:rPr>
              <w:t>前提和约束</w:t>
            </w:r>
          </w:p>
        </w:tc>
        <w:tc>
          <w:tcPr>
            <w:tcW w:type="dxa" w:w="5760"/>
            <w:gridSpan w:val="4"/>
          </w:tcPr>
          <w:p>
            <w:r>
              <w:rPr>
                <w:rFonts w:eastAsia="宋体"/>
                <w:sz w:val="20"/>
              </w:rPr>
              <w:t xml:space="preserve">智能情报分析平台正常运行，金融舆情模块已加载，Economy数据集可用</w:t>
            </w:r>
          </w:p>
        </w:tc>
      </w:tr>
      <w:tr>
        <w:tc>
          <w:tcPr>
            <w:tcW w:type="dxa" w:w="2880"/>
            <w:gridSpan w:val="2"/>
          </w:tcPr>
          <w:p>
            <w:pPr>
              <w:jc w:val="center"/>
            </w:pPr>
            <w:r>
              <w:rPr>
                <w:rFonts w:ascii="Times New Roman" w:hAnsi="Times New Roman"/>
                <w:b/>
              </w:rPr>
              <w:t>测试终止条件</w:t>
            </w:r>
          </w:p>
        </w:tc>
        <w:tc>
          <w:tcPr>
            <w:tcW w:type="dxa" w:w="5760"/>
            <w:gridSpan w:val="4"/>
          </w:tcPr>
          <w:p>
            <w:r>
              <w:rPr>
                <w:rFonts w:eastAsia="宋体"/>
                <w:sz w:val="20"/>
              </w:rPr>
              <w:t xml:space="preserve">所有测试步骤执行完毕而终止，或因软件运行错误终止</w:t>
            </w:r>
          </w:p>
        </w:tc>
      </w:tr>
      <w:tr>
        <w:tc>
          <w:tcPr>
            <w:tcW w:type="dxa" w:w="8640"/>
            <w:gridSpan w:val="6"/>
          </w:tcPr>
          <w:p>
            <w:pPr>
              <w:jc w:val="center"/>
            </w:pPr>
            <w:r>
              <w:rPr>
                <w:rFonts w:eastAsia="宋体"/>
                <w:sz w:val="20"/>
              </w:rPr>
              <w:t xml:space="preserve">测试过程</w:t>
            </w:r>
          </w:p>
        </w:tc>
      </w:tr>
      <w:tr>
        <w:tc>
          <w:tcPr>
            <w:tcW w:type="dxa" w:w="1440"/>
          </w:tcPr>
          <w:p>
            <w:pPr>
              <w:jc w:val="center"/>
            </w:pPr>
            <w:r>
              <w:rPr>
                <w:rFonts w:ascii="Times New Roman" w:hAnsi="Times New Roman"/>
                <w:b/>
              </w:rPr>
              <w:t>序号</w:t>
            </w:r>
          </w:p>
        </w:tc>
        <w:tc>
          <w:tcPr>
            <w:tcW w:type="dxa" w:w="2880"/>
            <w:gridSpan w:val="2"/>
          </w:tcPr>
          <w:p>
            <w:pPr>
              <w:jc w:val="center"/>
            </w:pPr>
            <w:r>
              <w:rPr>
                <w:rFonts w:ascii="Times New Roman" w:hAnsi="Times New Roman"/>
                <w:b/>
              </w:rPr>
              <w:t>输入及操作步骤</w:t>
            </w:r>
          </w:p>
        </w:tc>
        <w:tc>
          <w:tcPr>
            <w:tcW w:type="dxa" w:w="1440"/>
          </w:tcPr>
          <w:p>
            <w:pPr>
              <w:jc w:val="center"/>
            </w:pPr>
            <w:r>
              <w:rPr>
                <w:rFonts w:ascii="Times New Roman" w:hAnsi="Times New Roman"/>
                <w:b/>
              </w:rPr>
              <w:t>期望测试结果</w:t>
            </w:r>
          </w:p>
        </w:tc>
        <w:tc>
          <w:tcPr>
            <w:tcW w:type="dxa" w:w="1440"/>
          </w:tcPr>
          <w:p>
            <w:pPr>
              <w:jc w:val="center"/>
            </w:pPr>
            <w:r>
              <w:rPr>
                <w:rFonts w:ascii="Times New Roman" w:hAnsi="Times New Roman"/>
                <w:b/>
              </w:rPr>
              <w:t>评估准则</w:t>
            </w:r>
          </w:p>
        </w:tc>
        <w:tc>
          <w:tcPr>
            <w:tcW w:type="dxa" w:w="1440"/>
          </w:tcPr>
          <w:p>
            <w:pPr>
              <w:jc w:val="center"/>
            </w:pPr>
            <w:r>
              <w:rPr>
                <w:rFonts w:ascii="Times New Roman" w:hAnsi="Times New Roman"/>
                <w:b/>
              </w:rPr>
              <w:t>符合性判定</w:t>
              <w:br/>
              <w:t>（√或×或测试结果）</w:t>
            </w:r>
          </w:p>
        </w:tc>
      </w:tr>
      <w:tr>
        <w:tc>
          <w:tcPr>
            <w:tcW w:type="dxa" w:w="1440"/>
          </w:tcPr>
          <w:p>
            <w:pPr>
              <w:jc w:val="center"/>
            </w:pPr>
            <w:r>
              <w:rPr>
                <w:rFonts w:eastAsia="宋体"/>
                <w:sz w:val="20"/>
              </w:rPr>
              <w:t xml:space="preserve">1</w:t>
            </w:r>
          </w:p>
        </w:tc>
        <w:tc>
          <w:tcPr>
            <w:tcW w:type="dxa" w:w="2880"/>
            <w:gridSpan w:val="2"/>
          </w:tcPr>
          <w:p>
            <w:r>
              <w:rPr>
                <w:rFonts w:eastAsia="宋体"/>
                <w:sz w:val="20"/>
              </w:rPr>
              <w:t xml:space="preserve">打开系统页面，点击"💰 金融舆情"进入金融舆情模块</w:t>
            </w:r>
          </w:p>
        </w:tc>
        <w:tc>
          <w:tcPr>
            <w:tcW w:type="dxa" w:w="1440"/>
          </w:tcPr>
          <w:p>
            <w:r>
              <w:rPr>
                <w:rFonts w:eastAsia="宋体"/>
                <w:sz w:val="20"/>
              </w:rPr>
              <w:t xml:space="preserve">页面切换到金融舆情分析系统</w:t>
            </w:r>
          </w:p>
        </w:tc>
        <w:tc>
          <w:tcPr>
            <w:tcW w:type="dxa" w:w="1440"/>
          </w:tcPr>
          <w:p>
            <w:pPr>
              <w:jc w:val="center"/>
            </w:pPr>
            <w:r>
              <w:rPr>
                <w:rFonts w:eastAsia="宋体"/>
                <w:sz w:val="20"/>
              </w:rPr>
              <w:t xml:space="preserve">页面正常切换</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2</w:t>
            </w:r>
          </w:p>
        </w:tc>
        <w:tc>
          <w:tcPr>
            <w:tcW w:type="dxa" w:w="2880"/>
            <w:gridSpan w:val="2"/>
          </w:tcPr>
          <w:p>
            <w:r>
              <w:rPr>
                <w:rFonts w:eastAsia="宋体"/>
                <w:sz w:val="20"/>
              </w:rPr>
              <w:t xml:space="preserve">点击左侧导航菜单"事件演化趋势分析"，进入趋势分析页面</w:t>
            </w:r>
          </w:p>
        </w:tc>
        <w:tc>
          <w:tcPr>
            <w:tcW w:type="dxa" w:w="1440"/>
          </w:tcPr>
          <w:p>
            <w:r>
              <w:rPr>
                <w:rFonts w:eastAsia="宋体"/>
                <w:sz w:val="20"/>
              </w:rPr>
              <w:t xml:space="preserve">页面显示Economy数据集信息和测试样本选择器</w:t>
            </w:r>
          </w:p>
        </w:tc>
        <w:tc>
          <w:tcPr>
            <w:tcW w:type="dxa" w:w="1440"/>
          </w:tcPr>
          <w:p>
            <w:pPr>
              <w:jc w:val="center"/>
            </w:pPr>
            <w:r>
              <w:rPr>
                <w:rFonts w:eastAsia="宋体"/>
                <w:sz w:val="20"/>
              </w:rPr>
              <w:t xml:space="preserve">趋势分析页面正常加载</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3</w:t>
            </w:r>
          </w:p>
        </w:tc>
        <w:tc>
          <w:tcPr>
            <w:tcW w:type="dxa" w:w="2880"/>
            <w:gridSpan w:val="2"/>
          </w:tcPr>
          <w:p>
            <w:r>
              <w:rPr>
                <w:rFonts w:eastAsia="宋体"/>
                <w:sz w:val="20"/>
              </w:rPr>
              <w:t xml:space="preserve">在测试样本下拉框中选择一个样本（如Sample 1）</w:t>
            </w:r>
          </w:p>
        </w:tc>
        <w:tc>
          <w:tcPr>
            <w:tcW w:type="dxa" w:w="1440"/>
          </w:tcPr>
          <w:p>
            <w:r>
              <w:rPr>
                <w:rFonts w:eastAsia="宋体"/>
                <w:sz w:val="20"/>
              </w:rPr>
              <w:t xml:space="preserve">页面展示该样本的MSE、MAE、DTW三项评估指标数值</w:t>
            </w:r>
          </w:p>
        </w:tc>
        <w:tc>
          <w:tcPr>
            <w:tcW w:type="dxa" w:w="1440"/>
          </w:tcPr>
          <w:p>
            <w:pPr>
              <w:jc w:val="center"/>
            </w:pPr>
            <w:r>
              <w:rPr>
                <w:rFonts w:eastAsia="宋体"/>
                <w:sz w:val="20"/>
              </w:rPr>
              <w:t xml:space="preserve">指标数值合理显示</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4</w:t>
            </w:r>
          </w:p>
        </w:tc>
        <w:tc>
          <w:tcPr>
            <w:tcW w:type="dxa" w:w="2880"/>
            <w:gridSpan w:val="2"/>
          </w:tcPr>
          <w:p>
            <w:r>
              <w:rPr>
                <w:rFonts w:eastAsia="宋体"/>
                <w:sz w:val="20"/>
              </w:rPr>
              <w:t xml:space="preserve">查看预测折线图</w:t>
            </w:r>
          </w:p>
        </w:tc>
        <w:tc>
          <w:tcPr>
            <w:tcW w:type="dxa" w:w="1440"/>
          </w:tcPr>
          <w:p>
            <w:r>
              <w:rPr>
                <w:rFonts w:eastAsia="宋体"/>
                <w:sz w:val="20"/>
              </w:rPr>
              <w:t xml:space="preserve">折线图显示三条曲线：蓝色历史观测值、绿色未来真实值、橙色预测值。虚线标示预测起始分界点</w:t>
            </w:r>
          </w:p>
        </w:tc>
        <w:tc>
          <w:tcPr>
            <w:tcW w:type="dxa" w:w="1440"/>
          </w:tcPr>
          <w:p>
            <w:pPr>
              <w:jc w:val="center"/>
            </w:pPr>
            <w:r>
              <w:rPr>
                <w:rFonts w:eastAsia="宋体"/>
                <w:sz w:val="20"/>
              </w:rPr>
              <w:t xml:space="preserve">三条曲线清晰可辨，预测曲线与真实值走势一致</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5</w:t>
            </w:r>
          </w:p>
        </w:tc>
        <w:tc>
          <w:tcPr>
            <w:tcW w:type="dxa" w:w="2880"/>
            <w:gridSpan w:val="2"/>
          </w:tcPr>
          <w:p>
            <w:r>
              <w:rPr>
                <w:rFonts w:eastAsia="宋体"/>
                <w:sz w:val="20"/>
              </w:rPr>
              <w:t xml:space="preserve">对比预测值与真实值的走势差异</w:t>
            </w:r>
          </w:p>
        </w:tc>
        <w:tc>
          <w:tcPr>
            <w:tcW w:type="dxa" w:w="1440"/>
          </w:tcPr>
          <w:p>
            <w:r>
              <w:rPr>
                <w:rFonts w:eastAsia="宋体"/>
                <w:sz w:val="20"/>
              </w:rPr>
              <w:t xml:space="preserve">预测值曲线与真实值曲线在趋势方向和拐点位置上保持一致，整体误差在可接受范围内</w:t>
            </w:r>
          </w:p>
        </w:tc>
        <w:tc>
          <w:tcPr>
            <w:tcW w:type="dxa" w:w="1440"/>
          </w:tcPr>
          <w:p>
            <w:pPr>
              <w:jc w:val="center"/>
            </w:pPr>
            <w:r>
              <w:rPr>
                <w:rFonts w:eastAsia="宋体"/>
                <w:sz w:val="20"/>
              </w:rPr>
              <w:t xml:space="preserve">预测趋势与真实趋势吻合</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6</w:t>
            </w:r>
          </w:p>
        </w:tc>
        <w:tc>
          <w:tcPr>
            <w:tcW w:type="dxa" w:w="2880"/>
            <w:gridSpan w:val="2"/>
          </w:tcPr>
          <w:p>
            <w:r>
              <w:rPr>
                <w:rFonts w:eastAsia="宋体"/>
                <w:sz w:val="20"/>
              </w:rPr>
              <w:t xml:space="preserve">切换不同样本（Sample 2、Sample 3等）查看预测效果</w:t>
            </w:r>
          </w:p>
        </w:tc>
        <w:tc>
          <w:tcPr>
            <w:tcW w:type="dxa" w:w="1440"/>
          </w:tcPr>
          <w:p>
            <w:r>
              <w:rPr>
                <w:rFonts w:eastAsia="宋体"/>
                <w:sz w:val="20"/>
              </w:rPr>
              <w:t xml:space="preserve">每个样本均有独立的预测结果和评估指标，MSE/MAE/DTW值随样本变化</w:t>
            </w:r>
          </w:p>
        </w:tc>
        <w:tc>
          <w:tcPr>
            <w:tcW w:type="dxa" w:w="1440"/>
          </w:tcPr>
          <w:p>
            <w:pPr>
              <w:jc w:val="center"/>
            </w:pPr>
            <w:r>
              <w:rPr>
                <w:rFonts w:eastAsia="宋体"/>
                <w:sz w:val="20"/>
              </w:rPr>
              <w:t xml:space="preserve">多样本预测结果均可查看</w:t>
            </w:r>
          </w:p>
        </w:tc>
        <w:tc>
          <w:tcPr>
            <w:tcW w:type="dxa" w:w="1440"/>
          </w:tcPr>
          <w:p>
            <w:pPr>
              <w:jc w:val="center"/>
            </w:pPr>
            <w:r>
              <w:rPr>
                <w:rFonts w:eastAsia="宋体"/>
                <w:sz w:val="20"/>
              </w:rPr>
              <w:t xml:space="preserve"/>
            </w:r>
          </w:p>
        </w:tc>
      </w:tr>
      <w:tr>
        <w:tc>
          <w:tcPr>
            <w:tcW w:type="dxa" w:w="2880"/>
            <w:gridSpan w:val="2"/>
          </w:tcPr>
          <w:p>
            <w:pPr>
              <w:jc w:val="center"/>
            </w:pPr>
            <w:r>
              <w:rPr>
                <w:rFonts w:ascii="Times New Roman" w:hAnsi="Times New Roman"/>
                <w:b/>
              </w:rPr>
              <w:t>备    注</w:t>
            </w:r>
          </w:p>
        </w:tc>
        <w:tc>
          <w:tcPr>
            <w:tcW w:type="dxa" w:w="5760"/>
            <w:gridSpan w:val="4"/>
          </w:tcPr>
          <w:p>
            <w:r>
              <w:rPr>
                <w:rFonts w:eastAsia="宋体"/>
                <w:sz w:val="20"/>
              </w:rPr>
              <w:t xml:space="preserve">事件演化趋势预测基于深度学习时序预测模型，对月度国际贸易差额等金融时序数据进行建模。评估指标包括MSE（均方误差）、MAE（平均绝对误差）和DTW（动态时间规整距离），从数值误差和形状相似度两个维度综合评估预测质量。</w:t>
            </w:r>
          </w:p>
        </w:tc>
      </w:tr>
      <w:tr>
        <w:tc>
          <w:tcPr>
            <w:tcW w:type="dxa" w:w="2880"/>
            <w:gridSpan w:val="2"/>
          </w:tcPr>
          <w:p>
            <w:pPr>
              <w:jc w:val="center"/>
            </w:pPr>
            <w:r>
              <w:rPr>
                <w:rFonts w:ascii="Times New Roman" w:hAnsi="Times New Roman"/>
                <w:b/>
              </w:rPr>
              <w:t>测试结论</w:t>
            </w:r>
          </w:p>
        </w:tc>
        <w:tc>
          <w:tcPr>
            <w:tcW w:type="dxa" w:w="5760"/>
            <w:gridSpan w:val="4"/>
          </w:tcPr>
          <w:p>
            <w:r>
              <w:rPr>
                <w:rFonts w:eastAsia="宋体"/>
                <w:sz w:val="20"/>
              </w:rPr>
              <w:t xml:space="preserve">  □ 通过      □ 未通过     □ 未测试</w:t>
            </w:r>
          </w:p>
        </w:tc>
      </w:tr>
      <w:tr>
        <w:tc>
          <w:tcPr>
            <w:tcW w:type="dxa" w:w="2880"/>
            <w:gridSpan w:val="2"/>
          </w:tcPr>
          <w:p>
            <w:pPr>
              <w:jc w:val="center"/>
            </w:pPr>
            <w:r>
              <w:rPr>
                <w:rFonts w:ascii="Times New Roman" w:hAnsi="Times New Roman"/>
                <w:b/>
              </w:rPr>
              <w:t>操作人员</w:t>
            </w:r>
          </w:p>
        </w:tc>
        <w:tc>
          <w:tcPr>
            <w:tcW w:type="dxa" w:w="5760"/>
            <w:gridSpan w:val="4"/>
          </w:tcPr>
          <w:p>
            <w:r>
              <w:rPr>
                <w:rFonts w:ascii="Times New Roman" w:hAnsi="Times New Roman"/>
              </w:rPr>
            </w:r>
          </w:p>
        </w:tc>
      </w:tr>
      <w:tr>
        <w:tc>
          <w:tcPr>
            <w:tcW w:type="dxa" w:w="2880"/>
            <w:gridSpan w:val="2"/>
          </w:tcPr>
          <w:p>
            <w:pPr>
              <w:jc w:val="center"/>
            </w:pPr>
            <w:r>
              <w:rPr>
                <w:rFonts w:ascii="Times New Roman" w:hAnsi="Times New Roman"/>
                <w:b/>
              </w:rPr>
              <w:t>测试时间</w:t>
            </w:r>
          </w:p>
        </w:tc>
        <w:tc>
          <w:tcPr>
            <w:tcW w:type="dxa" w:w="5760"/>
            <w:gridSpan w:val="4"/>
          </w:tcPr>
          <w:p>
            <w:r>
              <w:rPr>
                <w:rFonts w:ascii="Times New Roman" w:hAnsi="Times New Roman"/>
              </w:rPr>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p>
      <w:r>
        <w:br w:type="page"/>
      </w:r>
    </w:p>
    <w:tbl>
      <w:tblPr>
        <w:tblW w:type="auto" w:w="0"/>
        <w:tblLook w:firstColumn="1" w:firstRow="1" w:lastColumn="0" w:lastRow="0" w:noHBand="0" w:noVBand="1" w:val="04A0"/>
      </w:tblPr>
      <w:tblGrid>
        <w:gridCol w:w="1440"/>
        <w:gridCol w:w="1440"/>
        <w:gridCol w:w="1440"/>
        <w:gridCol w:w="1440"/>
        <w:gridCol w:w="1440"/>
        <w:gridCol w:w="1440"/>
      </w:tblGrid>
      <w:tr>
        <w:tc>
          <w:tcPr>
            <w:tcW w:type="dxa" w:w="2880"/>
            <w:gridSpan w:val="2"/>
          </w:tcPr>
          <w:p>
            <w:pPr>
              <w:jc w:val="center"/>
            </w:pPr>
            <w:r>
              <w:rPr>
                <w:rFonts w:ascii="Times New Roman" w:hAnsi="Times New Roman"/>
                <w:b/>
              </w:rPr>
              <w:t>测试用例名称</w:t>
            </w:r>
          </w:p>
        </w:tc>
        <w:tc>
          <w:tcPr>
            <w:tcW w:type="dxa" w:w="5760"/>
            <w:gridSpan w:val="4"/>
          </w:tcPr>
          <w:p>
            <w:r>
              <w:rPr>
                <w:rFonts w:eastAsia="宋体"/>
                <w:sz w:val="20"/>
              </w:rPr>
              <w:t xml:space="preserve">金融舆情—时间维度信息关联展现 功能测试</w:t>
            </w:r>
          </w:p>
        </w:tc>
      </w:tr>
      <w:tr>
        <w:tc>
          <w:tcPr>
            <w:tcW w:type="dxa" w:w="2880"/>
            <w:gridSpan w:val="2"/>
          </w:tcPr>
          <w:p>
            <w:pPr>
              <w:jc w:val="center"/>
            </w:pPr>
            <w:r>
              <w:rPr>
                <w:rFonts w:ascii="Times New Roman" w:hAnsi="Times New Roman"/>
                <w:b/>
              </w:rPr>
              <w:t>测试用例标识</w:t>
            </w:r>
          </w:p>
        </w:tc>
        <w:tc>
          <w:tcPr>
            <w:tcW w:type="dxa" w:w="5760"/>
            <w:gridSpan w:val="4"/>
          </w:tcPr>
          <w:p>
            <w:r>
              <w:rPr>
                <w:rFonts w:eastAsia="宋体"/>
                <w:sz w:val="20"/>
              </w:rPr>
              <w:t xml:space="preserve">GN-016</w:t>
            </w:r>
          </w:p>
        </w:tc>
      </w:tr>
      <w:tr>
        <w:tc>
          <w:tcPr>
            <w:tcW w:type="dxa" w:w="2880"/>
            <w:gridSpan w:val="2"/>
          </w:tcPr>
          <w:p>
            <w:pPr>
              <w:jc w:val="center"/>
            </w:pPr>
            <w:r>
              <w:rPr>
                <w:rFonts w:ascii="Times New Roman" w:hAnsi="Times New Roman"/>
                <w:b/>
              </w:rPr>
              <w:t>测试用例描述</w:t>
            </w:r>
          </w:p>
        </w:tc>
        <w:tc>
          <w:tcPr>
            <w:tcW w:type="dxa" w:w="5760"/>
            <w:gridSpan w:val="4"/>
          </w:tcPr>
          <w:p>
            <w:r>
              <w:rPr>
                <w:rFonts w:eastAsia="宋体"/>
                <w:sz w:val="20"/>
              </w:rPr>
              <w:t xml:space="preserve">在金融舆情分析系统中，实现时间维度的信息关联展现。系统记录每条舆情数据的采集时间戳和事件发生时间，支持按时间范围筛选和查看舆情事件的时间分布。时间维度覆盖2024年1月至9月共9个月的舆情数据采集周期。</w:t>
            </w:r>
          </w:p>
        </w:tc>
      </w:tr>
      <w:tr>
        <w:tc>
          <w:tcPr>
            <w:tcW w:type="dxa" w:w="2880"/>
            <w:gridSpan w:val="2"/>
          </w:tcPr>
          <w:p>
            <w:pPr>
              <w:jc w:val="center"/>
            </w:pPr>
            <w:r>
              <w:rPr>
                <w:rFonts w:ascii="Times New Roman" w:hAnsi="Times New Roman"/>
                <w:b/>
              </w:rPr>
              <w:t>涉及的指标</w:t>
            </w:r>
          </w:p>
        </w:tc>
        <w:tc>
          <w:tcPr>
            <w:tcW w:type="dxa" w:w="5760"/>
            <w:gridSpan w:val="4"/>
          </w:tcPr>
          <w:p>
            <w:r>
              <w:rPr>
                <w:rFonts w:eastAsia="宋体"/>
                <w:sz w:val="20"/>
              </w:rPr>
              <w:t xml:space="preserve">指标6-①：时间维度——金融舆情模块：舆情事件发生时间、数据采集时间戳</w:t>
            </w:r>
          </w:p>
        </w:tc>
      </w:tr>
      <w:tr>
        <w:tc>
          <w:tcPr>
            <w:tcW w:type="dxa" w:w="2880"/>
            <w:gridSpan w:val="2"/>
          </w:tcPr>
          <w:p>
            <w:pPr>
              <w:jc w:val="center"/>
            </w:pPr>
            <w:r>
              <w:rPr>
                <w:rFonts w:ascii="Times New Roman" w:hAnsi="Times New Roman"/>
                <w:b/>
              </w:rPr>
              <w:t>前提和约束</w:t>
            </w:r>
          </w:p>
        </w:tc>
        <w:tc>
          <w:tcPr>
            <w:tcW w:type="dxa" w:w="5760"/>
            <w:gridSpan w:val="4"/>
          </w:tcPr>
          <w:p>
            <w:r>
              <w:rPr>
                <w:rFonts w:eastAsia="宋体"/>
                <w:sz w:val="20"/>
              </w:rPr>
              <w:t xml:space="preserve">智能情报分析平台正常运行，金融舆情模块已加载，时间维度示例数据可用</w:t>
            </w:r>
          </w:p>
        </w:tc>
      </w:tr>
      <w:tr>
        <w:tc>
          <w:tcPr>
            <w:tcW w:type="dxa" w:w="2880"/>
            <w:gridSpan w:val="2"/>
          </w:tcPr>
          <w:p>
            <w:pPr>
              <w:jc w:val="center"/>
            </w:pPr>
            <w:r>
              <w:rPr>
                <w:rFonts w:ascii="Times New Roman" w:hAnsi="Times New Roman"/>
                <w:b/>
              </w:rPr>
              <w:t>测试终止条件</w:t>
            </w:r>
          </w:p>
        </w:tc>
        <w:tc>
          <w:tcPr>
            <w:tcW w:type="dxa" w:w="5760"/>
            <w:gridSpan w:val="4"/>
          </w:tcPr>
          <w:p>
            <w:r>
              <w:rPr>
                <w:rFonts w:eastAsia="宋体"/>
                <w:sz w:val="20"/>
              </w:rPr>
              <w:t xml:space="preserve">所有测试步骤执行完毕而终止，或因软件运行错误终止</w:t>
            </w:r>
          </w:p>
        </w:tc>
      </w:tr>
      <w:tr>
        <w:tc>
          <w:tcPr>
            <w:tcW w:type="dxa" w:w="8640"/>
            <w:gridSpan w:val="6"/>
          </w:tcPr>
          <w:p>
            <w:pPr>
              <w:jc w:val="center"/>
            </w:pPr>
            <w:r>
              <w:rPr>
                <w:rFonts w:eastAsia="宋体"/>
                <w:sz w:val="20"/>
              </w:rPr>
              <w:t xml:space="preserve">测试过程</w:t>
            </w:r>
          </w:p>
        </w:tc>
      </w:tr>
      <w:tr>
        <w:tc>
          <w:tcPr>
            <w:tcW w:type="dxa" w:w="1440"/>
          </w:tcPr>
          <w:p>
            <w:pPr>
              <w:jc w:val="center"/>
            </w:pPr>
            <w:r>
              <w:rPr>
                <w:rFonts w:ascii="Times New Roman" w:hAnsi="Times New Roman"/>
                <w:b/>
              </w:rPr>
              <w:t>序号</w:t>
            </w:r>
          </w:p>
        </w:tc>
        <w:tc>
          <w:tcPr>
            <w:tcW w:type="dxa" w:w="2880"/>
            <w:gridSpan w:val="2"/>
          </w:tcPr>
          <w:p>
            <w:pPr>
              <w:jc w:val="center"/>
            </w:pPr>
            <w:r>
              <w:rPr>
                <w:rFonts w:ascii="Times New Roman" w:hAnsi="Times New Roman"/>
                <w:b/>
              </w:rPr>
              <w:t>输入及操作步骤</w:t>
            </w:r>
          </w:p>
        </w:tc>
        <w:tc>
          <w:tcPr>
            <w:tcW w:type="dxa" w:w="1440"/>
          </w:tcPr>
          <w:p>
            <w:pPr>
              <w:jc w:val="center"/>
            </w:pPr>
            <w:r>
              <w:rPr>
                <w:rFonts w:ascii="Times New Roman" w:hAnsi="Times New Roman"/>
                <w:b/>
              </w:rPr>
              <w:t>期望测试结果</w:t>
            </w:r>
          </w:p>
        </w:tc>
        <w:tc>
          <w:tcPr>
            <w:tcW w:type="dxa" w:w="1440"/>
          </w:tcPr>
          <w:p>
            <w:pPr>
              <w:jc w:val="center"/>
            </w:pPr>
            <w:r>
              <w:rPr>
                <w:rFonts w:ascii="Times New Roman" w:hAnsi="Times New Roman"/>
                <w:b/>
              </w:rPr>
              <w:t>评估准则</w:t>
            </w:r>
          </w:p>
        </w:tc>
        <w:tc>
          <w:tcPr>
            <w:tcW w:type="dxa" w:w="1440"/>
          </w:tcPr>
          <w:p>
            <w:pPr>
              <w:jc w:val="center"/>
            </w:pPr>
            <w:r>
              <w:rPr>
                <w:rFonts w:ascii="Times New Roman" w:hAnsi="Times New Roman"/>
                <w:b/>
              </w:rPr>
              <w:t>符合性判定</w:t>
              <w:br/>
              <w:t>（√或×或测试结果）</w:t>
            </w:r>
          </w:p>
        </w:tc>
      </w:tr>
      <w:tr>
        <w:tc>
          <w:tcPr>
            <w:tcW w:type="dxa" w:w="1440"/>
          </w:tcPr>
          <w:p>
            <w:pPr>
              <w:jc w:val="center"/>
            </w:pPr>
            <w:r>
              <w:rPr>
                <w:rFonts w:eastAsia="宋体"/>
                <w:sz w:val="20"/>
              </w:rPr>
              <w:t xml:space="preserve">1</w:t>
            </w:r>
          </w:p>
        </w:tc>
        <w:tc>
          <w:tcPr>
            <w:tcW w:type="dxa" w:w="2880"/>
            <w:gridSpan w:val="2"/>
          </w:tcPr>
          <w:p>
            <w:r>
              <w:rPr>
                <w:rFonts w:eastAsia="宋体"/>
                <w:sz w:val="20"/>
              </w:rPr>
              <w:t xml:space="preserve">打开系统页面，点击"💰 金融舆情"进入金融舆情模块</w:t>
            </w:r>
          </w:p>
        </w:tc>
        <w:tc>
          <w:tcPr>
            <w:tcW w:type="dxa" w:w="1440"/>
          </w:tcPr>
          <w:p>
            <w:r>
              <w:rPr>
                <w:rFonts w:eastAsia="宋体"/>
                <w:sz w:val="20"/>
              </w:rPr>
              <w:t xml:space="preserve">页面切换到金融舆情分析系统</w:t>
            </w:r>
          </w:p>
        </w:tc>
        <w:tc>
          <w:tcPr>
            <w:tcW w:type="dxa" w:w="1440"/>
          </w:tcPr>
          <w:p>
            <w:pPr>
              <w:jc w:val="center"/>
            </w:pPr>
            <w:r>
              <w:rPr>
                <w:rFonts w:eastAsia="宋体"/>
                <w:sz w:val="20"/>
              </w:rPr>
              <w:t xml:space="preserve">页面正常切换</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2</w:t>
            </w:r>
          </w:p>
        </w:tc>
        <w:tc>
          <w:tcPr>
            <w:tcW w:type="dxa" w:w="2880"/>
            <w:gridSpan w:val="2"/>
          </w:tcPr>
          <w:p>
            <w:r>
              <w:rPr>
                <w:rFonts w:eastAsia="宋体"/>
                <w:sz w:val="20"/>
              </w:rPr>
              <w:t xml:space="preserve">点击左侧导航菜单"时间维度"，进入时间维度分析页面</w:t>
            </w:r>
          </w:p>
        </w:tc>
        <w:tc>
          <w:tcPr>
            <w:tcW w:type="dxa" w:w="1440"/>
          </w:tcPr>
          <w:p>
            <w:r>
              <w:rPr>
                <w:rFonts w:eastAsia="宋体"/>
                <w:sz w:val="20"/>
              </w:rPr>
              <w:t xml:space="preserve">页面显示时间范围选择器（默认2024-01至2024-09），关键词输入框和查询按钮</w:t>
            </w:r>
          </w:p>
        </w:tc>
        <w:tc>
          <w:tcPr>
            <w:tcW w:type="dxa" w:w="1440"/>
          </w:tcPr>
          <w:p>
            <w:pPr>
              <w:jc w:val="center"/>
            </w:pPr>
            <w:r>
              <w:rPr>
                <w:rFonts w:eastAsia="宋体"/>
                <w:sz w:val="20"/>
              </w:rPr>
              <w:t xml:space="preserve">时间维度页面正常加载</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3</w:t>
            </w:r>
          </w:p>
        </w:tc>
        <w:tc>
          <w:tcPr>
            <w:tcW w:type="dxa" w:w="2880"/>
            <w:gridSpan w:val="2"/>
          </w:tcPr>
          <w:p>
            <w:r>
              <w:rPr>
                <w:rFonts w:eastAsia="宋体"/>
                <w:sz w:val="20"/>
              </w:rPr>
              <w:t xml:space="preserve">保持默认时间范围，点击"查询"按钮</w:t>
            </w:r>
          </w:p>
        </w:tc>
        <w:tc>
          <w:tcPr>
            <w:tcW w:type="dxa" w:w="1440"/>
          </w:tcPr>
          <w:p>
            <w:r>
              <w:rPr>
                <w:rFonts w:eastAsia="宋体"/>
                <w:sz w:val="20"/>
              </w:rPr>
              <w:t xml:space="preserve">系统显示该时间范围内的舆情事件总数，以及按时间排列的事件列表，每条事件标注具体的发生时间和采集时间戳</w:t>
            </w:r>
          </w:p>
        </w:tc>
        <w:tc>
          <w:tcPr>
            <w:tcW w:type="dxa" w:w="1440"/>
          </w:tcPr>
          <w:p>
            <w:pPr>
              <w:jc w:val="center"/>
            </w:pPr>
            <w:r>
              <w:rPr>
                <w:rFonts w:eastAsia="宋体"/>
                <w:sz w:val="20"/>
              </w:rPr>
              <w:t xml:space="preserve">时间信息完整显示</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4</w:t>
            </w:r>
          </w:p>
        </w:tc>
        <w:tc>
          <w:tcPr>
            <w:tcW w:type="dxa" w:w="2880"/>
            <w:gridSpan w:val="2"/>
          </w:tcPr>
          <w:p>
            <w:r>
              <w:rPr>
                <w:rFonts w:eastAsia="宋体"/>
                <w:sz w:val="20"/>
              </w:rPr>
              <w:t xml:space="preserve">修改时间范围为更窄的区间（如2024-03至2024-06），再次查询</w:t>
            </w:r>
          </w:p>
        </w:tc>
        <w:tc>
          <w:tcPr>
            <w:tcW w:type="dxa" w:w="1440"/>
          </w:tcPr>
          <w:p>
            <w:r>
              <w:rPr>
                <w:rFonts w:eastAsia="宋体"/>
                <w:sz w:val="20"/>
              </w:rPr>
              <w:t xml:space="preserve">舆情事件列表自动过滤，仅显示指定时间范围内的事件，数量相应减少</w:t>
            </w:r>
          </w:p>
        </w:tc>
        <w:tc>
          <w:tcPr>
            <w:tcW w:type="dxa" w:w="1440"/>
          </w:tcPr>
          <w:p>
            <w:pPr>
              <w:jc w:val="center"/>
            </w:pPr>
            <w:r>
              <w:rPr>
                <w:rFonts w:eastAsia="宋体"/>
                <w:sz w:val="20"/>
              </w:rPr>
              <w:t xml:space="preserve">时间筛选功能正常</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5</w:t>
            </w:r>
          </w:p>
        </w:tc>
        <w:tc>
          <w:tcPr>
            <w:tcW w:type="dxa" w:w="2880"/>
            <w:gridSpan w:val="2"/>
          </w:tcPr>
          <w:p>
            <w:r>
              <w:rPr>
                <w:rFonts w:eastAsia="宋体"/>
                <w:sz w:val="20"/>
              </w:rPr>
              <w:t xml:space="preserve">输入关键词（如"IPO"）结合时间范围进行联合筛选</w:t>
            </w:r>
          </w:p>
        </w:tc>
        <w:tc>
          <w:tcPr>
            <w:tcW w:type="dxa" w:w="1440"/>
          </w:tcPr>
          <w:p>
            <w:r>
              <w:rPr>
                <w:rFonts w:eastAsia="宋体"/>
                <w:sz w:val="20"/>
              </w:rPr>
              <w:t xml:space="preserve">系统同时按时间范围和关键词过滤，展示匹配的舆情事件，标注精确的时间信息</w:t>
            </w:r>
          </w:p>
        </w:tc>
        <w:tc>
          <w:tcPr>
            <w:tcW w:type="dxa" w:w="1440"/>
          </w:tcPr>
          <w:p>
            <w:pPr>
              <w:jc w:val="center"/>
            </w:pPr>
            <w:r>
              <w:rPr>
                <w:rFonts w:eastAsia="宋体"/>
                <w:sz w:val="20"/>
              </w:rPr>
              <w:t xml:space="preserve">时间+关键词联合筛选正常</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6</w:t>
            </w:r>
          </w:p>
        </w:tc>
        <w:tc>
          <w:tcPr>
            <w:tcW w:type="dxa" w:w="2880"/>
            <w:gridSpan w:val="2"/>
          </w:tcPr>
          <w:p>
            <w:r>
              <w:rPr>
                <w:rFonts w:eastAsia="宋体"/>
                <w:sz w:val="20"/>
              </w:rPr>
              <w:t xml:space="preserve">查看事件列表中的时间标签</w:t>
            </w:r>
          </w:p>
        </w:tc>
        <w:tc>
          <w:tcPr>
            <w:tcW w:type="dxa" w:w="1440"/>
          </w:tcPr>
          <w:p>
            <w:r>
              <w:rPr>
                <w:rFonts w:eastAsia="宋体"/>
                <w:sz w:val="20"/>
              </w:rPr>
              <w:t xml:space="preserve">每条事件均显示完整的YYYY-MM-DD格式日期，包含数据采集时间戳字段</w:t>
            </w:r>
          </w:p>
        </w:tc>
        <w:tc>
          <w:tcPr>
            <w:tcW w:type="dxa" w:w="1440"/>
          </w:tcPr>
          <w:p>
            <w:pPr>
              <w:jc w:val="center"/>
            </w:pPr>
            <w:r>
              <w:rPr>
                <w:rFonts w:eastAsia="宋体"/>
                <w:sz w:val="20"/>
              </w:rPr>
              <w:t xml:space="preserve">时间戳格式规范统一</w:t>
            </w:r>
          </w:p>
        </w:tc>
        <w:tc>
          <w:tcPr>
            <w:tcW w:type="dxa" w:w="1440"/>
          </w:tcPr>
          <w:p>
            <w:pPr>
              <w:jc w:val="center"/>
            </w:pPr>
            <w:r>
              <w:rPr>
                <w:rFonts w:eastAsia="宋体"/>
                <w:sz w:val="20"/>
              </w:rPr>
              <w:t xml:space="preserve"/>
            </w:r>
          </w:p>
        </w:tc>
      </w:tr>
      <w:tr>
        <w:tc>
          <w:tcPr>
            <w:tcW w:type="dxa" w:w="2880"/>
            <w:gridSpan w:val="2"/>
          </w:tcPr>
          <w:p>
            <w:pPr>
              <w:jc w:val="center"/>
            </w:pPr>
            <w:r>
              <w:rPr>
                <w:rFonts w:ascii="Times New Roman" w:hAnsi="Times New Roman"/>
                <w:b/>
              </w:rPr>
              <w:t>备    注</w:t>
            </w:r>
          </w:p>
        </w:tc>
        <w:tc>
          <w:tcPr>
            <w:tcW w:type="dxa" w:w="5760"/>
            <w:gridSpan w:val="4"/>
          </w:tcPr>
          <w:p>
            <w:r>
              <w:rPr>
                <w:rFonts w:eastAsia="宋体"/>
                <w:sz w:val="20"/>
              </w:rPr>
              <w:t xml:space="preserve">时间维度是系统6个信息关联展现维度之一。系统对每条舆情数据记录精确到天的时间信息，支持从2024年1月至9月共9个月的数据按时间范围灵活筛选和查看，满足舆情分析中的时序检索需求。</w:t>
            </w:r>
          </w:p>
        </w:tc>
      </w:tr>
      <w:tr>
        <w:tc>
          <w:tcPr>
            <w:tcW w:type="dxa" w:w="2880"/>
            <w:gridSpan w:val="2"/>
          </w:tcPr>
          <w:p>
            <w:pPr>
              <w:jc w:val="center"/>
            </w:pPr>
            <w:r>
              <w:rPr>
                <w:rFonts w:ascii="Times New Roman" w:hAnsi="Times New Roman"/>
                <w:b/>
              </w:rPr>
              <w:t>测试结论</w:t>
            </w:r>
          </w:p>
        </w:tc>
        <w:tc>
          <w:tcPr>
            <w:tcW w:type="dxa" w:w="5760"/>
            <w:gridSpan w:val="4"/>
          </w:tcPr>
          <w:p>
            <w:r>
              <w:rPr>
                <w:rFonts w:eastAsia="宋体"/>
                <w:sz w:val="20"/>
              </w:rPr>
              <w:t xml:space="preserve">  □ 通过      □ 未通过     □ 未测试</w:t>
            </w:r>
          </w:p>
        </w:tc>
      </w:tr>
      <w:tr>
        <w:tc>
          <w:tcPr>
            <w:tcW w:type="dxa" w:w="2880"/>
            <w:gridSpan w:val="2"/>
          </w:tcPr>
          <w:p>
            <w:pPr>
              <w:jc w:val="center"/>
            </w:pPr>
            <w:r>
              <w:rPr>
                <w:rFonts w:ascii="Times New Roman" w:hAnsi="Times New Roman"/>
                <w:b/>
              </w:rPr>
              <w:t>操作人员</w:t>
            </w:r>
          </w:p>
        </w:tc>
        <w:tc>
          <w:tcPr>
            <w:tcW w:type="dxa" w:w="5760"/>
            <w:gridSpan w:val="4"/>
          </w:tcPr>
          <w:p>
            <w:r>
              <w:rPr>
                <w:rFonts w:ascii="Times New Roman" w:hAnsi="Times New Roman"/>
              </w:rPr>
            </w:r>
          </w:p>
        </w:tc>
      </w:tr>
      <w:tr>
        <w:tc>
          <w:tcPr>
            <w:tcW w:type="dxa" w:w="2880"/>
            <w:gridSpan w:val="2"/>
          </w:tcPr>
          <w:p>
            <w:pPr>
              <w:jc w:val="center"/>
            </w:pPr>
            <w:r>
              <w:rPr>
                <w:rFonts w:ascii="Times New Roman" w:hAnsi="Times New Roman"/>
                <w:b/>
              </w:rPr>
              <w:t>测试时间</w:t>
            </w:r>
          </w:p>
        </w:tc>
        <w:tc>
          <w:tcPr>
            <w:tcW w:type="dxa" w:w="5760"/>
            <w:gridSpan w:val="4"/>
          </w:tcPr>
          <w:p>
            <w:r>
              <w:rPr>
                <w:rFonts w:ascii="Times New Roman" w:hAnsi="Times New Roman"/>
              </w:rPr>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p>
      <w:r>
        <w:br w:type="page"/>
      </w:r>
    </w:p>
    <w:tbl>
      <w:tblPr>
        <w:tblW w:type="auto" w:w="0"/>
        <w:tblLook w:firstColumn="1" w:firstRow="1" w:lastColumn="0" w:lastRow="0" w:noHBand="0" w:noVBand="1" w:val="04A0"/>
      </w:tblPr>
      <w:tblGrid>
        <w:gridCol w:w="1440"/>
        <w:gridCol w:w="1440"/>
        <w:gridCol w:w="1440"/>
        <w:gridCol w:w="1440"/>
        <w:gridCol w:w="1440"/>
        <w:gridCol w:w="1440"/>
      </w:tblGrid>
      <w:tr>
        <w:tc>
          <w:tcPr>
            <w:tcW w:type="dxa" w:w="2880"/>
            <w:gridSpan w:val="2"/>
          </w:tcPr>
          <w:p>
            <w:pPr>
              <w:jc w:val="center"/>
            </w:pPr>
            <w:r>
              <w:rPr>
                <w:rFonts w:ascii="Times New Roman" w:hAnsi="Times New Roman"/>
                <w:b/>
              </w:rPr>
              <w:t>测试用例名称</w:t>
            </w:r>
          </w:p>
        </w:tc>
        <w:tc>
          <w:tcPr>
            <w:tcW w:type="dxa" w:w="5760"/>
            <w:gridSpan w:val="4"/>
          </w:tcPr>
          <w:p>
            <w:r>
              <w:rPr>
                <w:rFonts w:eastAsia="宋体"/>
                <w:sz w:val="20"/>
              </w:rPr>
              <w:t xml:space="preserve">金融舆情—标签维度信息关联展现 功能测试</w:t>
            </w:r>
          </w:p>
        </w:tc>
      </w:tr>
      <w:tr>
        <w:tc>
          <w:tcPr>
            <w:tcW w:type="dxa" w:w="2880"/>
            <w:gridSpan w:val="2"/>
          </w:tcPr>
          <w:p>
            <w:pPr>
              <w:jc w:val="center"/>
            </w:pPr>
            <w:r>
              <w:rPr>
                <w:rFonts w:ascii="Times New Roman" w:hAnsi="Times New Roman"/>
                <w:b/>
              </w:rPr>
              <w:t>测试用例标识</w:t>
            </w:r>
          </w:p>
        </w:tc>
        <w:tc>
          <w:tcPr>
            <w:tcW w:type="dxa" w:w="5760"/>
            <w:gridSpan w:val="4"/>
          </w:tcPr>
          <w:p>
            <w:r>
              <w:rPr>
                <w:rFonts w:eastAsia="宋体"/>
                <w:sz w:val="20"/>
              </w:rPr>
              <w:t xml:space="preserve">GN-019</w:t>
            </w:r>
          </w:p>
        </w:tc>
      </w:tr>
      <w:tr>
        <w:tc>
          <w:tcPr>
            <w:tcW w:type="dxa" w:w="2880"/>
            <w:gridSpan w:val="2"/>
          </w:tcPr>
          <w:p>
            <w:pPr>
              <w:jc w:val="center"/>
            </w:pPr>
            <w:r>
              <w:rPr>
                <w:rFonts w:ascii="Times New Roman" w:hAnsi="Times New Roman"/>
                <w:b/>
              </w:rPr>
              <w:t>测试用例描述</w:t>
            </w:r>
          </w:p>
        </w:tc>
        <w:tc>
          <w:tcPr>
            <w:tcW w:type="dxa" w:w="5760"/>
            <w:gridSpan w:val="4"/>
          </w:tcPr>
          <w:p>
            <w:r>
              <w:rPr>
                <w:rFonts w:eastAsia="宋体"/>
                <w:sz w:val="20"/>
              </w:rPr>
              <w:t xml:space="preserve">在金融舆情分析系统中，实现标签维度的信息关联展现。系统的事件要素抽取功能能够从金融文本中自动识别并标注105种舆情要素标签，涵盖公司名称、人物、金额、日期、事件类型、金融术语等多个类别，并为每条标签关联注意力权重，直观展示模型关注的关键信息。</w:t>
            </w:r>
          </w:p>
        </w:tc>
      </w:tr>
      <w:tr>
        <w:tc>
          <w:tcPr>
            <w:tcW w:type="dxa" w:w="2880"/>
            <w:gridSpan w:val="2"/>
          </w:tcPr>
          <w:p>
            <w:pPr>
              <w:jc w:val="center"/>
            </w:pPr>
            <w:r>
              <w:rPr>
                <w:rFonts w:ascii="Times New Roman" w:hAnsi="Times New Roman"/>
                <w:b/>
              </w:rPr>
              <w:t>涉及的指标</w:t>
            </w:r>
          </w:p>
        </w:tc>
        <w:tc>
          <w:tcPr>
            <w:tcW w:type="dxa" w:w="5760"/>
            <w:gridSpan w:val="4"/>
          </w:tcPr>
          <w:p>
            <w:r>
              <w:rPr>
                <w:rFonts w:eastAsia="宋体"/>
                <w:sz w:val="20"/>
              </w:rPr>
              <w:t xml:space="preserve">指标6-④：标签维度——金融舆情模块：舆情要素自动标注标签（105个）</w:t>
            </w:r>
          </w:p>
        </w:tc>
      </w:tr>
      <w:tr>
        <w:tc>
          <w:tcPr>
            <w:tcW w:type="dxa" w:w="2880"/>
            <w:gridSpan w:val="2"/>
          </w:tcPr>
          <w:p>
            <w:pPr>
              <w:jc w:val="center"/>
            </w:pPr>
            <w:r>
              <w:rPr>
                <w:rFonts w:ascii="Times New Roman" w:hAnsi="Times New Roman"/>
                <w:b/>
              </w:rPr>
              <w:t>前提和约束</w:t>
            </w:r>
          </w:p>
        </w:tc>
        <w:tc>
          <w:tcPr>
            <w:tcW w:type="dxa" w:w="5760"/>
            <w:gridSpan w:val="4"/>
          </w:tcPr>
          <w:p>
            <w:r>
              <w:rPr>
                <w:rFonts w:eastAsia="宋体"/>
                <w:sz w:val="20"/>
              </w:rPr>
              <w:t xml:space="preserve">智能情报分析平台正常运行，金融舆情模块已加载，要素抽取模型数据就绪</w:t>
            </w:r>
          </w:p>
        </w:tc>
      </w:tr>
      <w:tr>
        <w:tc>
          <w:tcPr>
            <w:tcW w:type="dxa" w:w="2880"/>
            <w:gridSpan w:val="2"/>
          </w:tcPr>
          <w:p>
            <w:pPr>
              <w:jc w:val="center"/>
            </w:pPr>
            <w:r>
              <w:rPr>
                <w:rFonts w:ascii="Times New Roman" w:hAnsi="Times New Roman"/>
                <w:b/>
              </w:rPr>
              <w:t>测试终止条件</w:t>
            </w:r>
          </w:p>
        </w:tc>
        <w:tc>
          <w:tcPr>
            <w:tcW w:type="dxa" w:w="5760"/>
            <w:gridSpan w:val="4"/>
          </w:tcPr>
          <w:p>
            <w:r>
              <w:rPr>
                <w:rFonts w:eastAsia="宋体"/>
                <w:sz w:val="20"/>
              </w:rPr>
              <w:t xml:space="preserve">所有测试步骤执行完毕而终止，或因软件运行错误终止</w:t>
            </w:r>
          </w:p>
        </w:tc>
      </w:tr>
      <w:tr>
        <w:tc>
          <w:tcPr>
            <w:tcW w:type="dxa" w:w="8640"/>
            <w:gridSpan w:val="6"/>
          </w:tcPr>
          <w:p>
            <w:pPr>
              <w:jc w:val="center"/>
            </w:pPr>
            <w:r>
              <w:rPr>
                <w:rFonts w:eastAsia="宋体"/>
                <w:sz w:val="20"/>
              </w:rPr>
              <w:t xml:space="preserve">测试过程</w:t>
            </w:r>
          </w:p>
        </w:tc>
      </w:tr>
      <w:tr>
        <w:tc>
          <w:tcPr>
            <w:tcW w:type="dxa" w:w="1440"/>
          </w:tcPr>
          <w:p>
            <w:pPr>
              <w:jc w:val="center"/>
            </w:pPr>
            <w:r>
              <w:rPr>
                <w:rFonts w:ascii="Times New Roman" w:hAnsi="Times New Roman"/>
                <w:b/>
              </w:rPr>
              <w:t>序号</w:t>
            </w:r>
          </w:p>
        </w:tc>
        <w:tc>
          <w:tcPr>
            <w:tcW w:type="dxa" w:w="2880"/>
            <w:gridSpan w:val="2"/>
          </w:tcPr>
          <w:p>
            <w:pPr>
              <w:jc w:val="center"/>
            </w:pPr>
            <w:r>
              <w:rPr>
                <w:rFonts w:ascii="Times New Roman" w:hAnsi="Times New Roman"/>
                <w:b/>
              </w:rPr>
              <w:t>输入及操作步骤</w:t>
            </w:r>
          </w:p>
        </w:tc>
        <w:tc>
          <w:tcPr>
            <w:tcW w:type="dxa" w:w="1440"/>
          </w:tcPr>
          <w:p>
            <w:pPr>
              <w:jc w:val="center"/>
            </w:pPr>
            <w:r>
              <w:rPr>
                <w:rFonts w:ascii="Times New Roman" w:hAnsi="Times New Roman"/>
                <w:b/>
              </w:rPr>
              <w:t>期望测试结果</w:t>
            </w:r>
          </w:p>
        </w:tc>
        <w:tc>
          <w:tcPr>
            <w:tcW w:type="dxa" w:w="1440"/>
          </w:tcPr>
          <w:p>
            <w:pPr>
              <w:jc w:val="center"/>
            </w:pPr>
            <w:r>
              <w:rPr>
                <w:rFonts w:ascii="Times New Roman" w:hAnsi="Times New Roman"/>
                <w:b/>
              </w:rPr>
              <w:t>评估准则</w:t>
            </w:r>
          </w:p>
        </w:tc>
        <w:tc>
          <w:tcPr>
            <w:tcW w:type="dxa" w:w="1440"/>
          </w:tcPr>
          <w:p>
            <w:pPr>
              <w:jc w:val="center"/>
            </w:pPr>
            <w:r>
              <w:rPr>
                <w:rFonts w:ascii="Times New Roman" w:hAnsi="Times New Roman"/>
                <w:b/>
              </w:rPr>
              <w:t>符合性判定</w:t>
              <w:br/>
              <w:t>（√或×或测试结果）</w:t>
            </w:r>
          </w:p>
        </w:tc>
      </w:tr>
      <w:tr>
        <w:tc>
          <w:tcPr>
            <w:tcW w:type="dxa" w:w="1440"/>
          </w:tcPr>
          <w:p>
            <w:pPr>
              <w:jc w:val="center"/>
            </w:pPr>
            <w:r>
              <w:rPr>
                <w:rFonts w:eastAsia="宋体"/>
                <w:sz w:val="20"/>
              </w:rPr>
              <w:t xml:space="preserve">1</w:t>
            </w:r>
          </w:p>
        </w:tc>
        <w:tc>
          <w:tcPr>
            <w:tcW w:type="dxa" w:w="2880"/>
            <w:gridSpan w:val="2"/>
          </w:tcPr>
          <w:p>
            <w:r>
              <w:rPr>
                <w:rFonts w:eastAsia="宋体"/>
                <w:sz w:val="20"/>
              </w:rPr>
              <w:t xml:space="preserve">打开系统页面，点击"💰 金融舆情"进入金融舆情模块</w:t>
            </w:r>
          </w:p>
        </w:tc>
        <w:tc>
          <w:tcPr>
            <w:tcW w:type="dxa" w:w="1440"/>
          </w:tcPr>
          <w:p>
            <w:r>
              <w:rPr>
                <w:rFonts w:eastAsia="宋体"/>
                <w:sz w:val="20"/>
              </w:rPr>
              <w:t xml:space="preserve">页面切换到金融舆情分析系统</w:t>
            </w:r>
          </w:p>
        </w:tc>
        <w:tc>
          <w:tcPr>
            <w:tcW w:type="dxa" w:w="1440"/>
          </w:tcPr>
          <w:p>
            <w:pPr>
              <w:jc w:val="center"/>
            </w:pPr>
            <w:r>
              <w:rPr>
                <w:rFonts w:eastAsia="宋体"/>
                <w:sz w:val="20"/>
              </w:rPr>
              <w:t xml:space="preserve">页面正常切换</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2</w:t>
            </w:r>
          </w:p>
        </w:tc>
        <w:tc>
          <w:tcPr>
            <w:tcW w:type="dxa" w:w="2880"/>
            <w:gridSpan w:val="2"/>
          </w:tcPr>
          <w:p>
            <w:r>
              <w:rPr>
                <w:rFonts w:eastAsia="宋体"/>
                <w:sz w:val="20"/>
              </w:rPr>
              <w:t xml:space="preserve">点击左侧导航菜单"要素识别"，进入要素抽取页面</w:t>
            </w:r>
          </w:p>
        </w:tc>
        <w:tc>
          <w:tcPr>
            <w:tcW w:type="dxa" w:w="1440"/>
          </w:tcPr>
          <w:p>
            <w:r>
              <w:rPr>
                <w:rFonts w:eastAsia="宋体"/>
                <w:sz w:val="20"/>
              </w:rPr>
              <w:t xml:space="preserve">页面显示文本输入框和"选择舆情数据"按钮</w:t>
            </w:r>
          </w:p>
        </w:tc>
        <w:tc>
          <w:tcPr>
            <w:tcW w:type="dxa" w:w="1440"/>
          </w:tcPr>
          <w:p>
            <w:pPr>
              <w:jc w:val="center"/>
            </w:pPr>
            <w:r>
              <w:rPr>
                <w:rFonts w:eastAsia="宋体"/>
                <w:sz w:val="20"/>
              </w:rPr>
              <w:t xml:space="preserve">要素识别页面正常加载</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3</w:t>
            </w:r>
          </w:p>
        </w:tc>
        <w:tc>
          <w:tcPr>
            <w:tcW w:type="dxa" w:w="2880"/>
            <w:gridSpan w:val="2"/>
          </w:tcPr>
          <w:p>
            <w:r>
              <w:rPr>
                <w:rFonts w:eastAsia="宋体"/>
                <w:sz w:val="20"/>
              </w:rPr>
              <w:t xml:space="preserve">点击"选择舆情数据"按钮载入示例文本，再点击"生成"按钮</w:t>
            </w:r>
          </w:p>
        </w:tc>
        <w:tc>
          <w:tcPr>
            <w:tcW w:type="dxa" w:w="1440"/>
          </w:tcPr>
          <w:p>
            <w:r>
              <w:rPr>
                <w:rFonts w:eastAsia="宋体"/>
                <w:sz w:val="20"/>
              </w:rPr>
              <w:t xml:space="preserve">系统显示"模型处理中"弹窗，约3秒后展示抽取结果和注意力热力图</w:t>
            </w:r>
          </w:p>
        </w:tc>
        <w:tc>
          <w:tcPr>
            <w:tcW w:type="dxa" w:w="1440"/>
          </w:tcPr>
          <w:p>
            <w:pPr>
              <w:jc w:val="center"/>
            </w:pPr>
            <w:r>
              <w:rPr>
                <w:rFonts w:eastAsia="宋体"/>
                <w:sz w:val="20"/>
              </w:rPr>
              <w:t xml:space="preserve">要素抽取完成，结果展示</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4</w:t>
            </w:r>
          </w:p>
        </w:tc>
        <w:tc>
          <w:tcPr>
            <w:tcW w:type="dxa" w:w="2880"/>
            <w:gridSpan w:val="2"/>
          </w:tcPr>
          <w:p>
            <w:r>
              <w:rPr>
                <w:rFonts w:eastAsia="宋体"/>
                <w:sz w:val="20"/>
              </w:rPr>
              <w:t xml:space="preserve">查看检测结果中的要素标签列表</w:t>
            </w:r>
          </w:p>
        </w:tc>
        <w:tc>
          <w:tcPr>
            <w:tcW w:type="dxa" w:w="1440"/>
          </w:tcPr>
          <w:p>
            <w:r>
              <w:rPr>
                <w:rFonts w:eastAsia="宋体"/>
                <w:sz w:val="20"/>
              </w:rPr>
              <w:t xml:space="preserve">以键值对形式展示抽取的要素，如公司名称、人物姓名、涉及金额、事件日期等，标签数量覆盖全部105种要素类型</w:t>
            </w:r>
          </w:p>
        </w:tc>
        <w:tc>
          <w:tcPr>
            <w:tcW w:type="dxa" w:w="1440"/>
          </w:tcPr>
          <w:p>
            <w:pPr>
              <w:jc w:val="center"/>
            </w:pPr>
            <w:r>
              <w:rPr>
                <w:rFonts w:eastAsia="宋体"/>
                <w:sz w:val="20"/>
              </w:rPr>
              <w:t xml:space="preserve">要素标签完整覆盖</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5</w:t>
            </w:r>
          </w:p>
        </w:tc>
        <w:tc>
          <w:tcPr>
            <w:tcW w:type="dxa" w:w="2880"/>
            <w:gridSpan w:val="2"/>
          </w:tcPr>
          <w:p>
            <w:r>
              <w:rPr>
                <w:rFonts w:eastAsia="宋体"/>
                <w:sz w:val="20"/>
              </w:rPr>
              <w:t xml:space="preserve">查看注意力热力图</w:t>
            </w:r>
          </w:p>
        </w:tc>
        <w:tc>
          <w:tcPr>
            <w:tcW w:type="dxa" w:w="1440"/>
          </w:tcPr>
          <w:p>
            <w:r>
              <w:rPr>
                <w:rFonts w:eastAsia="宋体"/>
                <w:sz w:val="20"/>
              </w:rPr>
              <w:t xml:space="preserve">热力图以颜色深浅展示各token之间的注意力权重，颜色越深表示关注度越高。橙色边框高亮了与抽取要素相关的token</w:t>
            </w:r>
          </w:p>
        </w:tc>
        <w:tc>
          <w:tcPr>
            <w:tcW w:type="dxa" w:w="1440"/>
          </w:tcPr>
          <w:p>
            <w:pPr>
              <w:jc w:val="center"/>
            </w:pPr>
            <w:r>
              <w:rPr>
                <w:rFonts w:eastAsia="宋体"/>
                <w:sz w:val="20"/>
              </w:rPr>
              <w:t xml:space="preserve">热力图正确反映注意力分布</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6</w:t>
            </w:r>
          </w:p>
        </w:tc>
        <w:tc>
          <w:tcPr>
            <w:tcW w:type="dxa" w:w="2880"/>
            <w:gridSpan w:val="2"/>
          </w:tcPr>
          <w:p>
            <w:r>
              <w:rPr>
                <w:rFonts w:eastAsia="宋体"/>
                <w:sz w:val="20"/>
              </w:rPr>
              <w:t xml:space="preserve">切换查看"全部要素类型"标签墙</w:t>
            </w:r>
          </w:p>
        </w:tc>
        <w:tc>
          <w:tcPr>
            <w:tcW w:type="dxa" w:w="1440"/>
          </w:tcPr>
          <w:p>
            <w:r>
              <w:rPr>
                <w:rFonts w:eastAsia="宋体"/>
                <w:sz w:val="20"/>
              </w:rPr>
              <w:t xml:space="preserve">105个要素标签以Tag形式全部展示，已检测到的标签高亮为绿色，未检测到的为灰色</w:t>
            </w:r>
          </w:p>
        </w:tc>
        <w:tc>
          <w:tcPr>
            <w:tcW w:type="dxa" w:w="1440"/>
          </w:tcPr>
          <w:p>
            <w:pPr>
              <w:jc w:val="center"/>
            </w:pPr>
            <w:r>
              <w:rPr>
                <w:rFonts w:eastAsia="宋体"/>
                <w:sz w:val="20"/>
              </w:rPr>
              <w:t xml:space="preserve">105种标签完整列出</w:t>
            </w:r>
          </w:p>
        </w:tc>
        <w:tc>
          <w:tcPr>
            <w:tcW w:type="dxa" w:w="1440"/>
          </w:tcPr>
          <w:p>
            <w:pPr>
              <w:jc w:val="center"/>
            </w:pPr>
            <w:r>
              <w:rPr>
                <w:rFonts w:eastAsia="宋体"/>
                <w:sz w:val="20"/>
              </w:rPr>
              <w:t xml:space="preserve"/>
            </w:r>
          </w:p>
        </w:tc>
      </w:tr>
      <w:tr>
        <w:tc>
          <w:tcPr>
            <w:tcW w:type="dxa" w:w="2880"/>
            <w:gridSpan w:val="2"/>
          </w:tcPr>
          <w:p>
            <w:pPr>
              <w:jc w:val="center"/>
            </w:pPr>
            <w:r>
              <w:rPr>
                <w:rFonts w:ascii="Times New Roman" w:hAnsi="Times New Roman"/>
                <w:b/>
              </w:rPr>
              <w:t>备    注</w:t>
            </w:r>
          </w:p>
        </w:tc>
        <w:tc>
          <w:tcPr>
            <w:tcW w:type="dxa" w:w="5760"/>
            <w:gridSpan w:val="4"/>
          </w:tcPr>
          <w:p>
            <w:r>
              <w:rPr>
                <w:rFonts w:eastAsia="宋体"/>
                <w:sz w:val="20"/>
              </w:rPr>
              <w:t xml:space="preserve">标签维度是系统6个信息关联展现维度之一。系统基于BERT注意力机制实现要素自动标注，共定义105种要素标签类型，涵盖实体、关系、事件、数值等多个语义类别。注意力热力图直观展示了模型在抽取不同要素时关注的文本区域。</w:t>
            </w:r>
          </w:p>
        </w:tc>
      </w:tr>
      <w:tr>
        <w:tc>
          <w:tcPr>
            <w:tcW w:type="dxa" w:w="2880"/>
            <w:gridSpan w:val="2"/>
          </w:tcPr>
          <w:p>
            <w:pPr>
              <w:jc w:val="center"/>
            </w:pPr>
            <w:r>
              <w:rPr>
                <w:rFonts w:ascii="Times New Roman" w:hAnsi="Times New Roman"/>
                <w:b/>
              </w:rPr>
              <w:t>测试结论</w:t>
            </w:r>
          </w:p>
        </w:tc>
        <w:tc>
          <w:tcPr>
            <w:tcW w:type="dxa" w:w="5760"/>
            <w:gridSpan w:val="4"/>
          </w:tcPr>
          <w:p>
            <w:r>
              <w:rPr>
                <w:rFonts w:eastAsia="宋体"/>
                <w:sz w:val="20"/>
              </w:rPr>
              <w:t xml:space="preserve">  □ 通过      □ 未通过     □ 未测试</w:t>
            </w:r>
          </w:p>
        </w:tc>
      </w:tr>
      <w:tr>
        <w:tc>
          <w:tcPr>
            <w:tcW w:type="dxa" w:w="2880"/>
            <w:gridSpan w:val="2"/>
          </w:tcPr>
          <w:p>
            <w:pPr>
              <w:jc w:val="center"/>
            </w:pPr>
            <w:r>
              <w:rPr>
                <w:rFonts w:ascii="Times New Roman" w:hAnsi="Times New Roman"/>
                <w:b/>
              </w:rPr>
              <w:t>操作人员</w:t>
            </w:r>
          </w:p>
        </w:tc>
        <w:tc>
          <w:tcPr>
            <w:tcW w:type="dxa" w:w="5760"/>
            <w:gridSpan w:val="4"/>
          </w:tcPr>
          <w:p>
            <w:r>
              <w:rPr>
                <w:rFonts w:ascii="Times New Roman" w:hAnsi="Times New Roman"/>
              </w:rPr>
            </w:r>
          </w:p>
        </w:tc>
      </w:tr>
      <w:tr>
        <w:tc>
          <w:tcPr>
            <w:tcW w:type="dxa" w:w="2880"/>
            <w:gridSpan w:val="2"/>
          </w:tcPr>
          <w:p>
            <w:pPr>
              <w:jc w:val="center"/>
            </w:pPr>
            <w:r>
              <w:rPr>
                <w:rFonts w:ascii="Times New Roman" w:hAnsi="Times New Roman"/>
                <w:b/>
              </w:rPr>
              <w:t>测试时间</w:t>
            </w:r>
          </w:p>
        </w:tc>
        <w:tc>
          <w:tcPr>
            <w:tcW w:type="dxa" w:w="5760"/>
            <w:gridSpan w:val="4"/>
          </w:tcPr>
          <w:p>
            <w:r>
              <w:rPr>
                <w:rFonts w:ascii="Times New Roman" w:hAnsi="Times New Roman"/>
              </w:rPr>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p>
      <w:r>
        <w:br w:type="page"/>
      </w:r>
    </w:p>
    <w:tbl>
      <w:tblPr>
        <w:tblW w:type="auto" w:w="0"/>
        <w:tblLook w:firstColumn="1" w:firstRow="1" w:lastColumn="0" w:lastRow="0" w:noHBand="0" w:noVBand="1" w:val="04A0"/>
      </w:tblPr>
      <w:tblGrid>
        <w:gridCol w:w="1440"/>
        <w:gridCol w:w="1440"/>
        <w:gridCol w:w="1440"/>
        <w:gridCol w:w="1440"/>
        <w:gridCol w:w="1440"/>
        <w:gridCol w:w="1440"/>
      </w:tblGrid>
      <w:tr>
        <w:tc>
          <w:tcPr>
            <w:tcW w:type="dxa" w:w="2880"/>
            <w:gridSpan w:val="2"/>
          </w:tcPr>
          <w:p>
            <w:pPr>
              <w:jc w:val="center"/>
            </w:pPr>
            <w:r>
              <w:rPr>
                <w:rFonts w:ascii="Times New Roman" w:hAnsi="Times New Roman"/>
                <w:b/>
              </w:rPr>
              <w:t>测试用例名称</w:t>
            </w:r>
          </w:p>
        </w:tc>
        <w:tc>
          <w:tcPr>
            <w:tcW w:type="dxa" w:w="5760"/>
            <w:gridSpan w:val="4"/>
          </w:tcPr>
          <w:p>
            <w:r>
              <w:rPr>
                <w:rFonts w:eastAsia="宋体"/>
                <w:sz w:val="20"/>
              </w:rPr>
              <w:t xml:space="preserve">金融舆情—分类维度信息关联展现 功能测试</w:t>
            </w:r>
          </w:p>
        </w:tc>
      </w:tr>
      <w:tr>
        <w:tc>
          <w:tcPr>
            <w:tcW w:type="dxa" w:w="2880"/>
            <w:gridSpan w:val="2"/>
          </w:tcPr>
          <w:p>
            <w:pPr>
              <w:jc w:val="center"/>
            </w:pPr>
            <w:r>
              <w:rPr>
                <w:rFonts w:ascii="Times New Roman" w:hAnsi="Times New Roman"/>
                <w:b/>
              </w:rPr>
              <w:t>测试用例标识</w:t>
            </w:r>
          </w:p>
        </w:tc>
        <w:tc>
          <w:tcPr>
            <w:tcW w:type="dxa" w:w="5760"/>
            <w:gridSpan w:val="4"/>
          </w:tcPr>
          <w:p>
            <w:r>
              <w:rPr>
                <w:rFonts w:eastAsia="宋体"/>
                <w:sz w:val="20"/>
              </w:rPr>
              <w:t xml:space="preserve">GN-020</w:t>
            </w:r>
          </w:p>
        </w:tc>
      </w:tr>
      <w:tr>
        <w:tc>
          <w:tcPr>
            <w:tcW w:type="dxa" w:w="2880"/>
            <w:gridSpan w:val="2"/>
          </w:tcPr>
          <w:p>
            <w:pPr>
              <w:jc w:val="center"/>
            </w:pPr>
            <w:r>
              <w:rPr>
                <w:rFonts w:ascii="Times New Roman" w:hAnsi="Times New Roman"/>
                <w:b/>
              </w:rPr>
              <w:t>测试用例描述</w:t>
            </w:r>
          </w:p>
        </w:tc>
        <w:tc>
          <w:tcPr>
            <w:tcW w:type="dxa" w:w="5760"/>
            <w:gridSpan w:val="4"/>
          </w:tcPr>
          <w:p>
            <w:r>
              <w:rPr>
                <w:rFonts w:eastAsia="宋体"/>
                <w:sz w:val="20"/>
              </w:rPr>
              <w:t xml:space="preserve">在金融舆情分析系统中，实现分类维度的信息关联展现。系统支持对金融舆情文本进行3类网络黑嘴识别分类：胡评妄议、歪曲解读、唱空市场。同时也能识别非黑嘴的正常舆情内容。识别结果以颜色标签形式展示，不同黑嘴类型对应不同颜色标识。</w:t>
            </w:r>
          </w:p>
        </w:tc>
      </w:tr>
      <w:tr>
        <w:tc>
          <w:tcPr>
            <w:tcW w:type="dxa" w:w="2880"/>
            <w:gridSpan w:val="2"/>
          </w:tcPr>
          <w:p>
            <w:pPr>
              <w:jc w:val="center"/>
            </w:pPr>
            <w:r>
              <w:rPr>
                <w:rFonts w:ascii="Times New Roman" w:hAnsi="Times New Roman"/>
                <w:b/>
              </w:rPr>
              <w:t>涉及的指标</w:t>
            </w:r>
          </w:p>
        </w:tc>
        <w:tc>
          <w:tcPr>
            <w:tcW w:type="dxa" w:w="5760"/>
            <w:gridSpan w:val="4"/>
          </w:tcPr>
          <w:p>
            <w:r>
              <w:rPr>
                <w:rFonts w:eastAsia="宋体"/>
                <w:sz w:val="20"/>
              </w:rPr>
              <w:t xml:space="preserve">指标6-⑤：分类维度——金融舆情模块：3类黑嘴分类</w:t>
            </w:r>
          </w:p>
        </w:tc>
      </w:tr>
      <w:tr>
        <w:tc>
          <w:tcPr>
            <w:tcW w:type="dxa" w:w="2880"/>
            <w:gridSpan w:val="2"/>
          </w:tcPr>
          <w:p>
            <w:pPr>
              <w:jc w:val="center"/>
            </w:pPr>
            <w:r>
              <w:rPr>
                <w:rFonts w:ascii="Times New Roman" w:hAnsi="Times New Roman"/>
                <w:b/>
              </w:rPr>
              <w:t>前提和约束</w:t>
            </w:r>
          </w:p>
        </w:tc>
        <w:tc>
          <w:tcPr>
            <w:tcW w:type="dxa" w:w="5760"/>
            <w:gridSpan w:val="4"/>
          </w:tcPr>
          <w:p>
            <w:r>
              <w:rPr>
                <w:rFonts w:eastAsia="宋体"/>
                <w:sz w:val="20"/>
              </w:rPr>
              <w:t xml:space="preserve">智能情报分析平台正常运行，金融舆情模块已加载，黑嘴识别模型数据就绪</w:t>
            </w:r>
          </w:p>
        </w:tc>
      </w:tr>
      <w:tr>
        <w:tc>
          <w:tcPr>
            <w:tcW w:type="dxa" w:w="2880"/>
            <w:gridSpan w:val="2"/>
          </w:tcPr>
          <w:p>
            <w:pPr>
              <w:jc w:val="center"/>
            </w:pPr>
            <w:r>
              <w:rPr>
                <w:rFonts w:ascii="Times New Roman" w:hAnsi="Times New Roman"/>
                <w:b/>
              </w:rPr>
              <w:t>测试终止条件</w:t>
            </w:r>
          </w:p>
        </w:tc>
        <w:tc>
          <w:tcPr>
            <w:tcW w:type="dxa" w:w="5760"/>
            <w:gridSpan w:val="4"/>
          </w:tcPr>
          <w:p>
            <w:r>
              <w:rPr>
                <w:rFonts w:eastAsia="宋体"/>
                <w:sz w:val="20"/>
              </w:rPr>
              <w:t xml:space="preserve">所有测试步骤执行完毕而终止，或因软件运行错误终止</w:t>
            </w:r>
          </w:p>
        </w:tc>
      </w:tr>
      <w:tr>
        <w:tc>
          <w:tcPr>
            <w:tcW w:type="dxa" w:w="8640"/>
            <w:gridSpan w:val="6"/>
          </w:tcPr>
          <w:p>
            <w:pPr>
              <w:jc w:val="center"/>
            </w:pPr>
            <w:r>
              <w:rPr>
                <w:rFonts w:eastAsia="宋体"/>
                <w:sz w:val="20"/>
              </w:rPr>
              <w:t xml:space="preserve">测试过程</w:t>
            </w:r>
          </w:p>
        </w:tc>
      </w:tr>
      <w:tr>
        <w:tc>
          <w:tcPr>
            <w:tcW w:type="dxa" w:w="1440"/>
          </w:tcPr>
          <w:p>
            <w:pPr>
              <w:jc w:val="center"/>
            </w:pPr>
            <w:r>
              <w:rPr>
                <w:rFonts w:ascii="Times New Roman" w:hAnsi="Times New Roman"/>
                <w:b/>
              </w:rPr>
              <w:t>序号</w:t>
            </w:r>
          </w:p>
        </w:tc>
        <w:tc>
          <w:tcPr>
            <w:tcW w:type="dxa" w:w="2880"/>
            <w:gridSpan w:val="2"/>
          </w:tcPr>
          <w:p>
            <w:pPr>
              <w:jc w:val="center"/>
            </w:pPr>
            <w:r>
              <w:rPr>
                <w:rFonts w:ascii="Times New Roman" w:hAnsi="Times New Roman"/>
                <w:b/>
              </w:rPr>
              <w:t>输入及操作步骤</w:t>
            </w:r>
          </w:p>
        </w:tc>
        <w:tc>
          <w:tcPr>
            <w:tcW w:type="dxa" w:w="1440"/>
          </w:tcPr>
          <w:p>
            <w:pPr>
              <w:jc w:val="center"/>
            </w:pPr>
            <w:r>
              <w:rPr>
                <w:rFonts w:ascii="Times New Roman" w:hAnsi="Times New Roman"/>
                <w:b/>
              </w:rPr>
              <w:t>期望测试结果</w:t>
            </w:r>
          </w:p>
        </w:tc>
        <w:tc>
          <w:tcPr>
            <w:tcW w:type="dxa" w:w="1440"/>
          </w:tcPr>
          <w:p>
            <w:pPr>
              <w:jc w:val="center"/>
            </w:pPr>
            <w:r>
              <w:rPr>
                <w:rFonts w:ascii="Times New Roman" w:hAnsi="Times New Roman"/>
                <w:b/>
              </w:rPr>
              <w:t>评估准则</w:t>
            </w:r>
          </w:p>
        </w:tc>
        <w:tc>
          <w:tcPr>
            <w:tcW w:type="dxa" w:w="1440"/>
          </w:tcPr>
          <w:p>
            <w:pPr>
              <w:jc w:val="center"/>
            </w:pPr>
            <w:r>
              <w:rPr>
                <w:rFonts w:ascii="Times New Roman" w:hAnsi="Times New Roman"/>
                <w:b/>
              </w:rPr>
              <w:t>符合性判定</w:t>
              <w:br/>
              <w:t>（√或×或测试结果）</w:t>
            </w:r>
          </w:p>
        </w:tc>
      </w:tr>
      <w:tr>
        <w:tc>
          <w:tcPr>
            <w:tcW w:type="dxa" w:w="1440"/>
          </w:tcPr>
          <w:p>
            <w:pPr>
              <w:jc w:val="center"/>
            </w:pPr>
            <w:r>
              <w:rPr>
                <w:rFonts w:eastAsia="宋体"/>
                <w:sz w:val="20"/>
              </w:rPr>
              <w:t xml:space="preserve">1</w:t>
            </w:r>
          </w:p>
        </w:tc>
        <w:tc>
          <w:tcPr>
            <w:tcW w:type="dxa" w:w="2880"/>
            <w:gridSpan w:val="2"/>
          </w:tcPr>
          <w:p>
            <w:r>
              <w:rPr>
                <w:rFonts w:eastAsia="宋体"/>
                <w:sz w:val="20"/>
              </w:rPr>
              <w:t xml:space="preserve">打开系统页面，点击"💰 金融舆情"进入金融舆情模块</w:t>
            </w:r>
          </w:p>
        </w:tc>
        <w:tc>
          <w:tcPr>
            <w:tcW w:type="dxa" w:w="1440"/>
          </w:tcPr>
          <w:p>
            <w:r>
              <w:rPr>
                <w:rFonts w:eastAsia="宋体"/>
                <w:sz w:val="20"/>
              </w:rPr>
              <w:t xml:space="preserve">页面切换到金融舆情分析系统</w:t>
            </w:r>
          </w:p>
        </w:tc>
        <w:tc>
          <w:tcPr>
            <w:tcW w:type="dxa" w:w="1440"/>
          </w:tcPr>
          <w:p>
            <w:pPr>
              <w:jc w:val="center"/>
            </w:pPr>
            <w:r>
              <w:rPr>
                <w:rFonts w:eastAsia="宋体"/>
                <w:sz w:val="20"/>
              </w:rPr>
              <w:t xml:space="preserve">页面正常切换</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2</w:t>
            </w:r>
          </w:p>
        </w:tc>
        <w:tc>
          <w:tcPr>
            <w:tcW w:type="dxa" w:w="2880"/>
            <w:gridSpan w:val="2"/>
          </w:tcPr>
          <w:p>
            <w:r>
              <w:rPr>
                <w:rFonts w:eastAsia="宋体"/>
                <w:sz w:val="20"/>
              </w:rPr>
              <w:t xml:space="preserve">点击左侧导航菜单"3类黑嘴识别"，进入黑嘴识别页面</w:t>
            </w:r>
          </w:p>
        </w:tc>
        <w:tc>
          <w:tcPr>
            <w:tcW w:type="dxa" w:w="1440"/>
          </w:tcPr>
          <w:p>
            <w:r>
              <w:rPr>
                <w:rFonts w:eastAsia="宋体"/>
                <w:sz w:val="20"/>
              </w:rPr>
              <w:t xml:space="preserve">页面展示3种黑嘴类型说明卡片（胡评妄议/歪曲解读/唱空市场），以及舆情标题和内容输入框</w:t>
            </w:r>
          </w:p>
        </w:tc>
        <w:tc>
          <w:tcPr>
            <w:tcW w:type="dxa" w:w="1440"/>
          </w:tcPr>
          <w:p>
            <w:pPr>
              <w:jc w:val="center"/>
            </w:pPr>
            <w:r>
              <w:rPr>
                <w:rFonts w:eastAsia="宋体"/>
                <w:sz w:val="20"/>
              </w:rPr>
              <w:t xml:space="preserve">黑嘴识别页面正常加载</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3</w:t>
            </w:r>
          </w:p>
        </w:tc>
        <w:tc>
          <w:tcPr>
            <w:tcW w:type="dxa" w:w="2880"/>
            <w:gridSpan w:val="2"/>
          </w:tcPr>
          <w:p>
            <w:r>
              <w:rPr>
                <w:rFonts w:eastAsia="宋体"/>
                <w:sz w:val="20"/>
              </w:rPr>
              <w:t xml:space="preserve">点击"胡评妄议"示例按钮，载入对应示例文本，点击"生成"按钮</w:t>
            </w:r>
          </w:p>
        </w:tc>
        <w:tc>
          <w:tcPr>
            <w:tcW w:type="dxa" w:w="1440"/>
          </w:tcPr>
          <w:p>
            <w:r>
              <w:rPr>
                <w:rFonts w:eastAsia="宋体"/>
                <w:sz w:val="20"/>
              </w:rPr>
              <w:t xml:space="preserve">系统显示"模型处理中"弹窗，约3秒后返回识别结果，标签显示"胡评妄议"（红色），结果框展示详细的黑嘴分析内容</w:t>
            </w:r>
          </w:p>
        </w:tc>
        <w:tc>
          <w:tcPr>
            <w:tcW w:type="dxa" w:w="1440"/>
          </w:tcPr>
          <w:p>
            <w:pPr>
              <w:jc w:val="center"/>
            </w:pPr>
            <w:r>
              <w:rPr>
                <w:rFonts w:eastAsia="宋体"/>
                <w:sz w:val="20"/>
              </w:rPr>
              <w:t xml:space="preserve">胡评妄议类型正确识别</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4</w:t>
            </w:r>
          </w:p>
        </w:tc>
        <w:tc>
          <w:tcPr>
            <w:tcW w:type="dxa" w:w="2880"/>
            <w:gridSpan w:val="2"/>
          </w:tcPr>
          <w:p>
            <w:r>
              <w:rPr>
                <w:rFonts w:eastAsia="宋体"/>
                <w:sz w:val="20"/>
              </w:rPr>
              <w:t xml:space="preserve">点击"歪曲解读"示例按钮，载入对应示例文本，点击"生成"按钮</w:t>
            </w:r>
          </w:p>
        </w:tc>
        <w:tc>
          <w:tcPr>
            <w:tcW w:type="dxa" w:w="1440"/>
          </w:tcPr>
          <w:p>
            <w:r>
              <w:rPr>
                <w:rFonts w:eastAsia="宋体"/>
                <w:sz w:val="20"/>
              </w:rPr>
              <w:t xml:space="preserve">系统返回识别结果，标签显示"歪曲解读"（橙色），结果框展示歪曲解读的具体证据和分析</w:t>
            </w:r>
          </w:p>
        </w:tc>
        <w:tc>
          <w:tcPr>
            <w:tcW w:type="dxa" w:w="1440"/>
          </w:tcPr>
          <w:p>
            <w:pPr>
              <w:jc w:val="center"/>
            </w:pPr>
            <w:r>
              <w:rPr>
                <w:rFonts w:eastAsia="宋体"/>
                <w:sz w:val="20"/>
              </w:rPr>
              <w:t xml:space="preserve">歪曲解读类型正确识别</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5</w:t>
            </w:r>
          </w:p>
        </w:tc>
        <w:tc>
          <w:tcPr>
            <w:tcW w:type="dxa" w:w="2880"/>
            <w:gridSpan w:val="2"/>
          </w:tcPr>
          <w:p>
            <w:r>
              <w:rPr>
                <w:rFonts w:eastAsia="宋体"/>
                <w:sz w:val="20"/>
              </w:rPr>
              <w:t xml:space="preserve">点击"唱空市场"示例按钮，载入对应示例文本，点击"生成"按钮</w:t>
            </w:r>
          </w:p>
        </w:tc>
        <w:tc>
          <w:tcPr>
            <w:tcW w:type="dxa" w:w="1440"/>
          </w:tcPr>
          <w:p>
            <w:r>
              <w:rPr>
                <w:rFonts w:eastAsia="宋体"/>
                <w:sz w:val="20"/>
              </w:rPr>
              <w:t xml:space="preserve">系统返回识别结果，标签显示"唱空市场"（红色），结果框展示唱空市场的判定依据</w:t>
            </w:r>
          </w:p>
        </w:tc>
        <w:tc>
          <w:tcPr>
            <w:tcW w:type="dxa" w:w="1440"/>
          </w:tcPr>
          <w:p>
            <w:pPr>
              <w:jc w:val="center"/>
            </w:pPr>
            <w:r>
              <w:rPr>
                <w:rFonts w:eastAsia="宋体"/>
                <w:sz w:val="20"/>
              </w:rPr>
              <w:t xml:space="preserve">唱空市场类型正确识别</w:t>
            </w:r>
          </w:p>
        </w:tc>
        <w:tc>
          <w:tcPr>
            <w:tcW w:type="dxa" w:w="1440"/>
          </w:tcPr>
          <w:p>
            <w:pPr>
              <w:jc w:val="center"/>
            </w:pPr>
            <w:r>
              <w:rPr>
                <w:rFonts w:eastAsia="宋体"/>
                <w:sz w:val="20"/>
              </w:rPr>
              <w:t xml:space="preserve"/>
            </w:r>
          </w:p>
        </w:tc>
      </w:tr>
      <w:tr>
        <w:tc>
          <w:tcPr>
            <w:tcW w:type="dxa" w:w="1440"/>
          </w:tcPr>
          <w:p>
            <w:pPr>
              <w:jc w:val="center"/>
            </w:pPr>
            <w:r>
              <w:rPr>
                <w:rFonts w:eastAsia="宋体"/>
                <w:sz w:val="20"/>
              </w:rPr>
              <w:t xml:space="preserve">6</w:t>
            </w:r>
          </w:p>
        </w:tc>
        <w:tc>
          <w:tcPr>
            <w:tcW w:type="dxa" w:w="2880"/>
            <w:gridSpan w:val="2"/>
          </w:tcPr>
          <w:p>
            <w:r>
              <w:rPr>
                <w:rFonts w:eastAsia="宋体"/>
                <w:sz w:val="20"/>
              </w:rPr>
              <w:t xml:space="preserve">点击"正常舆情"示例按钮，载入正常新闻文本，点击"生成"按钮</w:t>
            </w:r>
          </w:p>
        </w:tc>
        <w:tc>
          <w:tcPr>
            <w:tcW w:type="dxa" w:w="1440"/>
          </w:tcPr>
          <w:p>
            <w:r>
              <w:rPr>
                <w:rFonts w:eastAsia="宋体"/>
                <w:sz w:val="20"/>
              </w:rPr>
              <w:t xml:space="preserve">系统返回识别结果，标签显示"非黑嘴"（绿色），确认该文本不属于任何黑嘴类别</w:t>
            </w:r>
          </w:p>
        </w:tc>
        <w:tc>
          <w:tcPr>
            <w:tcW w:type="dxa" w:w="1440"/>
          </w:tcPr>
          <w:p>
            <w:pPr>
              <w:jc w:val="center"/>
            </w:pPr>
            <w:r>
              <w:rPr>
                <w:rFonts w:eastAsia="宋体"/>
                <w:sz w:val="20"/>
              </w:rPr>
              <w:t xml:space="preserve">非黑嘴正常识别</w:t>
            </w:r>
          </w:p>
        </w:tc>
        <w:tc>
          <w:tcPr>
            <w:tcW w:type="dxa" w:w="1440"/>
          </w:tcPr>
          <w:p>
            <w:pPr>
              <w:jc w:val="center"/>
            </w:pPr>
            <w:r>
              <w:rPr>
                <w:rFonts w:eastAsia="宋体"/>
                <w:sz w:val="20"/>
              </w:rPr>
              <w:t xml:space="preserve"/>
            </w:r>
          </w:p>
        </w:tc>
      </w:tr>
      <w:tr>
        <w:tc>
          <w:tcPr>
            <w:tcW w:type="dxa" w:w="2880"/>
            <w:gridSpan w:val="2"/>
          </w:tcPr>
          <w:p>
            <w:pPr>
              <w:jc w:val="center"/>
            </w:pPr>
            <w:r>
              <w:rPr>
                <w:rFonts w:ascii="Times New Roman" w:hAnsi="Times New Roman"/>
                <w:b/>
              </w:rPr>
              <w:t>备    注</w:t>
            </w:r>
          </w:p>
        </w:tc>
        <w:tc>
          <w:tcPr>
            <w:tcW w:type="dxa" w:w="5760"/>
            <w:gridSpan w:val="4"/>
          </w:tcPr>
          <w:p>
            <w:r>
              <w:rPr>
                <w:rFonts w:eastAsia="宋体"/>
                <w:sz w:val="20"/>
              </w:rPr>
              <w:t xml:space="preserve">分类维度是系统6个信息关联展现维度之一。系统支持对金融舆情内容进行3类网络黑嘴自动分类，分别对应胡评妄议（缺乏事实依据的主观臆断）、歪曲解读（故意曲解政策或数据含义）和唱空市场（散布恐慌性信息打压市场信心），同时能识别正常舆情内容，实现完整的分类维度覆盖。</w:t>
            </w:r>
          </w:p>
        </w:tc>
      </w:tr>
      <w:tr>
        <w:tc>
          <w:tcPr>
            <w:tcW w:type="dxa" w:w="2880"/>
            <w:gridSpan w:val="2"/>
          </w:tcPr>
          <w:p>
            <w:pPr>
              <w:jc w:val="center"/>
            </w:pPr>
            <w:r>
              <w:rPr>
                <w:rFonts w:ascii="Times New Roman" w:hAnsi="Times New Roman"/>
                <w:b/>
              </w:rPr>
              <w:t>测试结论</w:t>
            </w:r>
          </w:p>
        </w:tc>
        <w:tc>
          <w:tcPr>
            <w:tcW w:type="dxa" w:w="5760"/>
            <w:gridSpan w:val="4"/>
          </w:tcPr>
          <w:p>
            <w:r>
              <w:rPr>
                <w:rFonts w:eastAsia="宋体"/>
                <w:sz w:val="20"/>
              </w:rPr>
              <w:t xml:space="preserve">  □ 通过      □ 未通过     □ 未测试</w:t>
            </w:r>
          </w:p>
        </w:tc>
      </w:tr>
      <w:tr>
        <w:tc>
          <w:tcPr>
            <w:tcW w:type="dxa" w:w="2880"/>
            <w:gridSpan w:val="2"/>
          </w:tcPr>
          <w:p>
            <w:pPr>
              <w:jc w:val="center"/>
            </w:pPr>
            <w:r>
              <w:rPr>
                <w:rFonts w:ascii="Times New Roman" w:hAnsi="Times New Roman"/>
                <w:b/>
              </w:rPr>
              <w:t>操作人员</w:t>
            </w:r>
          </w:p>
        </w:tc>
        <w:tc>
          <w:tcPr>
            <w:tcW w:type="dxa" w:w="5760"/>
            <w:gridSpan w:val="4"/>
          </w:tcPr>
          <w:p>
            <w:r>
              <w:rPr>
                <w:rFonts w:ascii="Times New Roman" w:hAnsi="Times New Roman"/>
              </w:rPr>
            </w:r>
          </w:p>
        </w:tc>
      </w:tr>
      <w:tr>
        <w:tc>
          <w:tcPr>
            <w:tcW w:type="dxa" w:w="2880"/>
            <w:gridSpan w:val="2"/>
          </w:tcPr>
          <w:p>
            <w:pPr>
              <w:jc w:val="center"/>
            </w:pPr>
            <w:r>
              <w:rPr>
                <w:rFonts w:ascii="Times New Roman" w:hAnsi="Times New Roman"/>
                <w:b/>
              </w:rPr>
              <w:t>测试时间</w:t>
            </w:r>
          </w:p>
        </w:tc>
        <w:tc>
          <w:tcPr>
            <w:tcW w:type="dxa" w:w="5760"/>
            <w:gridSpan w:val="4"/>
          </w:tcPr>
          <w:p>
            <w:r>
              <w:rPr>
                <w:rFonts w:ascii="Times New Roman" w:hAnsi="Times New Roman"/>
              </w:rPr>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p>
      <w:r>
        <w:br w:type="page"/>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