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/>
          <w:b/>
          <w:sz w:val="32"/>
        </w:rPr>
        <w:t>功能测试表——视频理解部分</w:t>
      </w:r>
    </w:p>
    <w:p>
      <w:pPr>
        <w:jc w:val="center"/>
      </w:pPr>
      <w:r>
        <w:rPr>
          <w:rFonts w:ascii="宋体" w:hAnsi="宋体"/>
          <w:color w:val="666666"/>
          <w:sz w:val="20"/>
        </w:rPr>
        <w:t>涵盖指标3（GN-006~010）、指标4（GN-012~015）、指标6（GN-017~018）共11项功能测试</w:t>
      </w:r>
    </w:p>
    <w:p/>
    <w:p>
      <w:pPr>
        <w:jc w:val="left"/>
      </w:pPr>
      <w:r>
        <w:rPr>
          <w:rFonts w:ascii="宋体" w:hAnsi="宋体"/>
          <w:b/>
          <w:sz w:val="22"/>
        </w:rPr>
        <w:t>GN-006  事件目标组织关联关系图生成效率</w:t>
      </w:r>
    </w:p>
    <w:p>
      <w:pPr>
        <w:jc w:val="left"/>
      </w:pPr>
      <w:r>
        <w:rPr>
          <w:rFonts w:ascii="宋体" w:hAnsi="宋体"/>
          <w:b/>
          <w:sz w:val="22"/>
        </w:rPr>
        <w:t>GN-007  目标属性研判</w:t>
      </w:r>
    </w:p>
    <w:p>
      <w:pPr>
        <w:jc w:val="left"/>
      </w:pPr>
      <w:r>
        <w:rPr>
          <w:rFonts w:ascii="宋体" w:hAnsi="宋体"/>
          <w:b/>
          <w:sz w:val="22"/>
        </w:rPr>
        <w:t>GN-008  目标行为研判</w:t>
      </w:r>
    </w:p>
    <w:p>
      <w:pPr>
        <w:jc w:val="left"/>
      </w:pPr>
      <w:r>
        <w:rPr>
          <w:rFonts w:ascii="宋体" w:hAnsi="宋体"/>
          <w:b/>
          <w:sz w:val="22"/>
        </w:rPr>
        <w:t>GN-009  目标意图识别研判</w:t>
      </w:r>
    </w:p>
    <w:p>
      <w:pPr>
        <w:jc w:val="left"/>
      </w:pPr>
      <w:r>
        <w:rPr>
          <w:rFonts w:ascii="宋体" w:hAnsi="宋体"/>
          <w:b/>
          <w:sz w:val="22"/>
        </w:rPr>
        <w:t>GN-010  事件阶段研判</w:t>
      </w:r>
    </w:p>
    <w:p>
      <w:pPr>
        <w:jc w:val="left"/>
      </w:pPr>
      <w:r>
        <w:rPr>
          <w:rFonts w:ascii="宋体" w:hAnsi="宋体"/>
          <w:b/>
          <w:sz w:val="22"/>
        </w:rPr>
        <w:t>GN-012  多目标关系分析</w:t>
      </w:r>
    </w:p>
    <w:p>
      <w:pPr>
        <w:jc w:val="left"/>
      </w:pPr>
      <w:r>
        <w:rPr>
          <w:rFonts w:ascii="宋体" w:hAnsi="宋体"/>
          <w:b/>
          <w:sz w:val="22"/>
        </w:rPr>
        <w:t>GN-013  时空规律分析</w:t>
      </w:r>
    </w:p>
    <w:p>
      <w:pPr>
        <w:jc w:val="left"/>
      </w:pPr>
      <w:r>
        <w:rPr>
          <w:rFonts w:ascii="宋体" w:hAnsi="宋体"/>
          <w:b/>
          <w:sz w:val="22"/>
        </w:rPr>
        <w:t>GN-014  目标行为轨迹结构化描述</w:t>
      </w:r>
    </w:p>
    <w:p>
      <w:pPr>
        <w:jc w:val="left"/>
      </w:pPr>
      <w:r>
        <w:rPr>
          <w:rFonts w:ascii="宋体" w:hAnsi="宋体"/>
          <w:b/>
          <w:sz w:val="22"/>
        </w:rPr>
        <w:t>GN-015  事件时序阶段信息与意图背景</w:t>
      </w:r>
    </w:p>
    <w:p>
      <w:pPr>
        <w:jc w:val="left"/>
      </w:pPr>
      <w:r>
        <w:rPr>
          <w:rFonts w:ascii="宋体" w:hAnsi="宋体"/>
          <w:b/>
          <w:sz w:val="22"/>
        </w:rPr>
        <w:t>GN-017  空间维度信息关联展现</w:t>
      </w:r>
    </w:p>
    <w:p>
      <w:pPr>
        <w:jc w:val="left"/>
      </w:pPr>
      <w:r>
        <w:rPr>
          <w:rFonts w:ascii="宋体" w:hAnsi="宋体"/>
          <w:b/>
          <w:sz w:val="22"/>
        </w:rPr>
        <w:t>GN-018  目标维度信息关联展现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视频理解—事件目标组织关联关系图生成效率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GN-006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针对阅兵视频等多目标场景，测试动态认知图的生成效率。系统需在1秒内完成包含不少于100个目标节点的认知图构建和渲染，涵盖人员、车辆、飞机、旗帜、场景等多类目标节点及其关联关系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指标3：事件目标组织关联关系图生成&lt;1秒（≥100目标）——视频理解模块：动态认知图生成与渲染约100-300ms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智能情报分析平台正常运行，视频理解模块已加载，阅兵示例视频数据可用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打开系统页面，点击顶部导航栏'视频理解'进入视频理解模块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页面切换到视频事件分析展示平台，显示文件选择界面和'选择视频文件'按钮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页面正常切换至视频理解模块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点击'选择视频文件'按钮，选择一个包含多目标的视频文件（如阅兵视频）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页面显示已选择文件名称，'查看分析结果'按钮由灰色变为可用状态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文件选择功能正常，按钮状态正确切换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点击'查看分析结果'按钮，等待系统深度学习模型分析完成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系统约1秒后展示分析结果页面，包含视频预览、视频内容摘要、动态认知图、问答对和精彩集锦等区域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分析结果页面加载时间约1秒，各功能区域完整显示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在动态认知图区域点击'生成认知图'按钮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系统在约100-300ms内生成并渲染树形认知图，展示不少于100个目标节点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认知图生成耗时&lt;1秒（实测约100-300ms），目标节点数≥100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5</w:t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展开认知图的各层级节点，检查节点数量和关系边类型</w:t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认知图包含完整的4大分支，关系边覆盖同屏出现、空间邻近、队列从属、运动方向一致、时间先后等5种类型</w:t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节点层级结构完整（4分支），关系边类型≥5种</w:t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视频理解—目标属性研判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GN-007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面向特定目标类型的属性研判功能。系统需能对视频中识别到的目标（受阅人员方队、地面装备车辆、空中飞行编队、旗帜/群众/主席台等）进行属性分析，输出目标类别、外观特征、运动属性等研判结果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指标3-①：目标属性研判——视频理解模块：面向特定目标的属性研判功能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在视频分析结果页面，查看'视频内容摘要'区域顶部的主题切换按钮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摘要区域顶部显示6个主题切换按钮：目标属性研判、目标行为研判、目标意图识别研判、事件阶段研判、多目标关系、时空规律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6个主题按钮均可见，布局整齐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点击'目标属性研判'主题按钮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页面切换到该主题，展示4个子项卡片：受阅人员方队、地面装备车辆、空中飞行编队、旗帜/群众/主席台背景目标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子项切换流畅，卡片内容正确加载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依次点击'受阅人员方队'和'地面装备车辆'卡片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人员方队：统一着装、整齐队列、集体行进→判定为仪仗/受阅队伍；装备车辆：车体尺寸大、外形规则、编队通行→判定为地面武器装备目标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人员属性和装备属性描述均准确有据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依次点击'空中飞行编队'和'旗帜/群众/主席台'卡片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飞行编队：空中高速移动、多机编队→判定为空中装备展示类目标；旗帜/群众/主席台：作为环境与仪式背景目标，提供场景语义支撑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4类目标属性研判全部覆盖，分类无遗漏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视频理解—目标行为研判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GN-008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在视频理解模块中，测试面向特定目标类型的行为研判功能。系统需能对视频中目标的移动方式、编队行为、同步性等行为模式进行识别和研判。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指标3-②：目标行为研判——视频理解模块：面向特定目标的行为研判功能，支持识别目标在视频中的移动、停留、转向等行为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在视频分析结果页面的摘要区域，点击'目标行为研判'主题按钮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页面展示该主题下的4个子项卡片：受阅人员方队、地面装备车辆、空中飞行编队、群众与旗帜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4个子项完整，与主题标题对应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点击'受阅人员方队'卡片，查看人员行为研判结果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显示：集体踏步、列队前进、敬礼或接受检阅，同步性强、动作规范、队形稳定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人员行为描述涵盖移动方式、动作类型和队形特征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点击'地面装备车辆'卡片，查看装备行为研判结果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显示：沿检阅道路匀速行驶、按固定间距编队通过、保持稳定队形，属于装备接受检阅和展示通行行为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装备行为描述涵盖速度、间距、队形和行为类别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点击'空中飞行编队'卡片，查看飞行器行为研判结果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显示：按预定航线飞越广场或检阅区域，多机保持编队关系，体现空中协同展示行为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飞行行为描述涵盖航线、编队、协同三要素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视频理解—目标意图识别研判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GN-009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在视频理解模块中，测试面向特定目标的意图识别研判功能。系统需能基于视频中目标的行为表现和场景上下文，对目标的潜在意图进行推断和研判。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指标3-③：目标意图识别研判——视频理解模块：面向特定目标的意图识别研判功能，支持对目标潜在意图进行推断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在视频分析结果页面的摘要区域，点击'目标意图识别研判'主题按钮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页面展示该主题下的4个子项卡片：受阅人员方队、地面装备车辆、空中飞行编队、主席台/讲话画面/纪念性字幕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4个子项卡片正确展示，标题与主题一致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点击'受阅人员方队'卡片，查看人员意图研判结果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显示：展示队伍纪律性、组织性和精神面貌，通过整齐动作体现军事队伍的规范化训练水平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意图推断有逻辑依据，与行为表现关联紧密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点击'地面装备车辆'卡片，查看装备意图研判结果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显示：展示地面作战装备、战略装备或保障装备能力，突出装备体系化和规模化特征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意图推断与装备属性和展示方式匹配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点击'主席台/讲话画面/纪念性字幕'卡片，查看场景意图研判结果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显示：共同指向事件的政治仪式和纪念表达意图，说明该视频为正式阅兵或纪念活动而非普通训练场景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场景意图综合多个线索推断，逻辑合理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视频理解—事件阶段研判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GN-010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在视频理解模块中，测试事件阶段研判功能。系统需能根据视频内容的时间线，将事件划分为不同的时序阶段（开场→人员检阅→装备展示→空中展示→收束），并输出各阶段的名称、时间区间和关键目标。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指标3-④：事件阶段研判——视频理解模块：事件阶段研判功能，支持根据视频内容将视频事件划分为不同阶段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在视频分析结果页面的摘要区域，点击'事件阶段研判'主题按钮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页面展示该主题下的5个阶段卡片：开场阶段（主席台/广场/旗帜）、人员检阅阶段、装备展示阶段、空中展示阶段、收束阶段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5个阶段卡片完整展示，阶段名称清晰可辨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点击'开场阶段'卡片查看阶段详情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显示该阶段对应主席台/广场/旗帜目标，时间对应00:00-00:10区间，用于建立场景背景和仪式主题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开场阶段的时间区间和目标描述准确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依次点击'人员检阅阶段'和'装备展示阶段'卡片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人员检阅对应00:10-00:55区间，重点展示方队通过检阅区域；装备展示对应00:55-01:55区间，画面转向装甲和导弹车辆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中间阶段时间划分和内容描述合理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点击'空中展示阶段'和'收束阶段'卡片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空中展示对应01:15-02:10区间展示飞行编队；收束阶段对应02:10-02:20区间以讲话和群众画面收尾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结尾阶段划分合理，覆盖完整视频时间线（00:00-02:20）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视频理解—多目标关系分析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GN-012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在视频理解模块中，测试多目标关系分析功能。系统需能识别视频中多个目标之间的空间关系和组织关系，包括人员方队内部关系、车辆装备之间关系、飞机之间关系、受阅目标与主席台关系等。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指标4-①：多目标关系——视频理解模块：多目标关系分析功能，支持识别视频中多个目标之间的空间关系和组织关系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在视频分析结果页面的摘要区域，点击'多目标关系'主题按钮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页面展示该主题下的4个子项卡片：人员方队内部目标关系、车辆装备之间关系、飞机之间关系、受阅目标与主席台关系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4个子项覆盖所有目标组合类型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点击'人员方队内部目标关系'卡片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显示：人员之间存在严格队列关系，横向对齐、纵向间距稳定，体现集体协同关系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人员间空间关系描述具体（横向对齐+纵向间距）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点击'车辆装备之间关系'卡片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显示：地面车辆之间表现为前后跟随、左右并列、固定间距通行，形成装备编队关系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车辆间编队关系描述清晰，含跟随和并列两种模式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点击'飞机之间关系'和'受阅目标与主席台关系'卡片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飞机关系：保持固定间隔和相对位置，形成飞行编队协同关系；受阅目标与主席台：所有受阅目标围绕主席台展开，形成'通过—检阅'的空间关系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飞行编队和空间功能关系分析均正确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视频理解—时空规律分析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GN-013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在视频理解模块中，测试目标时空规律分析功能。系统需能统计目标在视频时间线上的出现先后顺序和空间分布规律。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指标4-②：时空规律——视频理解模块：目标时空规律分析功能，支持统计目标在视频中的先后顺序和空间分布规律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在视频分析结果页面的摘要区域，点击'时空规律'主题按钮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页面展示该主题下的4个子项卡片，分别对应不同目标类型的时间和空间规律分析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4个子项卡片均正确加载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点击人员方队相关的时空规律卡片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显示：时间上最先出现于00:00-00:10区间，空间上集中在广场地面区域，运动方向统一朝向主席台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人员时空规律含时间、空间、方向三个维度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点击地面装备车辆相关的时空规律卡片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显示：时间上位于人员方队之后（00:55起），空间上沿固定道路通行，运动方向一致，速度较稳定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装备时空规律含先后顺序和空间路径描述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在动态认知图中查看'时间维度'和'空间维度'的节点关联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时间维度按9个时段排列，空间维度关联5个区域；目标节点通过关系边连接到对应的时间段和空间区域，形成完整交叉关联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时空-目标交叉关联网络完整可见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视频理解—目标行为轨迹结构化描述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GN-014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在视频理解模块中，测试目标行为轨迹的结构化描述功能。系统需能将视频中目标的行为过程以结构化方式输出，包括目标在各时间段的运动状态、行为变化和轨迹特征。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指标4-③：目标行为轨迹——视频理解模块：支持对目标行为进行结构化描述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在视频分析结果页面，查看动态认知图的'时间线与事件过程'分支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认知图展示9个时间区间的结构化行为轨迹（00:00-00:10至02:10-02:20），每个区间列出该时段出现的重要目标节点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9个时间区间完整覆盖视频全程（02:20）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展开00:00-00:10和00:10-00:20两个时间区间的子节点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00:00-00:10展示仪仗队列队、受阅人员集结及重要目标；00:10-00:20展示飞机起飞、纪念标识出现、士兵方队展示及对应目标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各时段目标列表完整，行为描述与时间对应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展开01:35-01:55和01:55-02:10两个装备密集区间的子节点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01:35-01:55展示坦克、导弹运输车、雷达车辆等装备；01:55-02:10展示大型导弹车辆、加油机、战斗机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装备密集时段的行为描述结构一致且数据准确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在问答对区域，点击预设问题按钮或输入'视频在00:00-00:20阶段主要展示了什么内容？'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系统生成结构化回答，列出该时段出现的目标列表和行为描述，回答内容与认知图数据一致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问答输出的行为轨迹描述与认知图数据一致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视频理解—事件时序阶段信息与意图背景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GN-015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在视频理解模块中，测试意图背景分析功能。系统需能根据视频内容形成完整的事件时间线和背景报告，将目标意图、事件阶段和场景背景信息进行整合展示。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指标4-④：意图背景——视频理解模块：事件时序阶段信息生成与展示功能，支持形成完整事件时间线和背景报告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在视频分析结果页面，综合查看视频内容摘要区域的全部6个主题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摘要区域按目标属性研判、行为研判、意图识别研判、事件阶段研判、多目标关系、时空规律6个主题组织，覆盖阅兵视频的全部分析维度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6个分析维度完整覆盖，无缺失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查看'目标意图识别研判'主题下的主席台/讲话画面/纪念性字幕卡片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显示意图背景信息：共同指向事件的政治仪式和纪念表达意图，区分该视频为正式阅兵活动而非普通训练场景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意图背景信息区分了视频的活动性质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查看'事件阶段研判'主题下各阶段的背景描述卡片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每个阶段卡片均包含该阶段的事件背景说明：开场阶段说明场景建立目的，收束阶段说明主题总结功能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各阶段均含完整的背景上下文描述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查看动态认知图的'总结'分支节点内容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总结节点概括视频整体意图背景：目标数量多（≥100）、事件阶段清晰（5阶段）、目标关联丰富（5类关系边）、可解释性线索明显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全局意图总结涵盖5个维度，信息完整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视频理解—空间维度信息关联展现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GN-017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在视频理解模块中，测试空间维度的信息关联展现功能。系统需能展示视频内目标的空间位置信息，并通过认知图中的空间维度节点实现跨目标的空间关联展现。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指标6-②：空间维度——视频理解模块：视频内目标空间位置（坐标/边界框）、跨视频空间关联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在视频分析结果页面，查看动态认知图'信息关联展现维度'分支下的'空间维度'节点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空间维度节点关联5个空间区域：广场、道路、机场、天空、主席台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5个空间区域节点全部可见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查看'多目标关系'主题下的空间关系分析卡片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展示目标之间的空间关系：受阅目标围绕主席台形成'通过—检阅'关系，地面目标沿道路通行，空中目标在天空区域飞行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空间关系描述与认知图节点信息一致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查看'时空规律'主题下各目标的空间分布卡片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不同目标关联不同空间区域——人员方队→广场地面、装备车辆→检阅道路、飞机→机场和天空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目标-空间映射关系准确无错误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在认知图中查看目标维度节点与空间维度节点的交叉关联连线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5类目标节点通过关系边连接到5类空间节点，形成完整的'目标—空间位置'关联网络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跨维度关联关系边清晰可见，网络完整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  <w:p>
      <w:r>
        <w:br w:type="page"/>
      </w:r>
    </w:p>
    <w:tbl>
      <w:tblPr>
        <w:tblStyle w:val="3"/>
        <w:tblW w:w="4942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20"/>
        <w:gridCol w:w="904"/>
        <w:gridCol w:w="1697"/>
        <w:gridCol w:w="2732"/>
        <w:gridCol w:w="1093"/>
        <w:gridCol w:w="1376"/>
      </w:tblGrid>
      <w:tr w14:paraId="406391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0020266A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测试用例名称</w:t>
            </w:r>
          </w:p>
        </w:tc>
        <w:tc>
          <w:tcPr>
            <w:tcW w:w="4095" w:type="pct"/>
            <w:gridSpan w:val="4"/>
            <w:vAlign w:val="center"/>
          </w:tcPr>
          <w:p w14:paraId="2B1EFFAF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视频理解—目标维度信息关联展现 功能测试</w:t>
            </w:r>
          </w:p>
        </w:tc>
      </w:tr>
      <w:tr w14:paraId="749B0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50A584CB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测试用例标识</w:t>
            </w:r>
          </w:p>
        </w:tc>
        <w:tc>
          <w:tcPr>
            <w:tcW w:w="4095" w:type="pct"/>
            <w:gridSpan w:val="4"/>
            <w:vAlign w:val="center"/>
          </w:tcPr>
          <w:p w14:paraId="5B670238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bookmarkStart w:id="5" w:name="GN001"/>
            <w:bookmarkEnd w:id="5"/>
            <w:r>
              <w:rPr>
                <w:rFonts w:eastAsia="宋体"/>
                <w:sz w:val="20"/>
              </w:rPr>
              <w:t xml:space="preserve">GN-018</w:t>
            </w:r>
          </w:p>
        </w:tc>
      </w:tr>
      <w:tr w14:paraId="16D456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04D2F49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测试用例描述</w:t>
            </w:r>
          </w:p>
        </w:tc>
        <w:tc>
          <w:tcPr>
            <w:tcW w:w="4095" w:type="pct"/>
            <w:gridSpan w:val="4"/>
            <w:vAlign w:val="center"/>
          </w:tcPr>
          <w:p w14:paraId="76CC247B">
            <w:pPr>
              <w:widowControl/>
              <w:jc w:val="left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在视频理解模块中，测试目标维度的信息关联展现功能。系统需能对视频中的目标进行类别化管理，展示不少于100个目标节点的层级结构和5类关联关系。</w:t>
            </w:r>
          </w:p>
        </w:tc>
      </w:tr>
      <w:tr w14:paraId="519FE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400605D8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涉及的指标</w:t>
            </w:r>
          </w:p>
        </w:tc>
        <w:tc>
          <w:tcPr>
            <w:tcW w:w="4095" w:type="pct"/>
            <w:gridSpan w:val="4"/>
            <w:vAlign w:val="center"/>
          </w:tcPr>
          <w:p w14:paraId="3EAF0176">
            <w:pPr>
              <w:widowControl/>
              <w:jc w:val="left"/>
              <w:rPr>
                <w:rFonts w:ascii="Times New Roman" w:hAnsi="Times New Roman" w:cs="Times New Roman"/>
                <w:b/>
                <w:bCs/>
                <w:szCs w:val="21"/>
              </w:rPr>
            </w:pPr>
            <w:r>
              <w:rPr>
                <w:rFonts w:eastAsia="宋体"/>
                <w:sz w:val="20"/>
              </w:rPr>
              <w:t xml:space="preserve">指标6-③：目标维度——视频理解模块：目标ID持久化维护（跨视频）、目标属性（类别/大小/行为）、目标关联关系</w:t>
            </w:r>
          </w:p>
        </w:tc>
      </w:tr>
      <w:tr w14:paraId="12FDDC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2D7BCD04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前提和约束</w:t>
            </w:r>
          </w:p>
        </w:tc>
        <w:tc>
          <w:tcPr>
            <w:tcW w:w="4095" w:type="pct"/>
            <w:gridSpan w:val="4"/>
            <w:vAlign w:val="center"/>
          </w:tcPr>
          <w:p w14:paraId="2481E8B4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智能情报分析平台正常运行，视频理解模块已加载，视频分析结果已生成</w:t>
            </w:r>
          </w:p>
        </w:tc>
      </w:tr>
      <w:tr w14:paraId="38299D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27" w:hRule="atLeast"/>
        </w:trPr>
        <w:tc>
          <w:tcPr>
            <w:tcW w:w="905" w:type="pct"/>
            <w:gridSpan w:val="2"/>
            <w:vAlign w:val="center"/>
          </w:tcPr>
          <w:p w14:paraId="6AEF955D">
            <w:pP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测试终止条件</w:t>
            </w:r>
          </w:p>
        </w:tc>
        <w:tc>
          <w:tcPr>
            <w:tcW w:w="4095" w:type="pct"/>
            <w:gridSpan w:val="4"/>
            <w:vAlign w:val="center"/>
          </w:tcPr>
          <w:p w14:paraId="2E03EB0A">
            <w:pPr>
              <w:widowControl/>
              <w:jc w:val="left"/>
              <w:rPr>
                <w:rFonts w:ascii="Times New Roman" w:hAnsi="Times New Roman" w:cs="Times New Roman"/>
              </w:rPr>
            </w:pPr>
            <w:r>
              <w:rPr>
                <w:rFonts w:eastAsia="宋体"/>
                <w:sz w:val="20"/>
              </w:rPr>
              <w:t xml:space="preserve">所有测试步骤执行完毕而终止，或因软件运行错误终止</w:t>
            </w:r>
          </w:p>
        </w:tc>
      </w:tr>
      <w:tr w14:paraId="2267CB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5000" w:type="pct"/>
            <w:gridSpan w:val="6"/>
            <w:vAlign w:val="center"/>
          </w:tcPr>
          <w:p w14:paraId="3119A033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eastAsia="宋体"/>
                <w:sz w:val="20"/>
              </w:rPr>
              <w:t xml:space="preserve">测试过程</w:t>
            </w:r>
          </w:p>
        </w:tc>
      </w:tr>
      <w:tr w14:paraId="7ADBB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F184BA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序号</w:t>
            </w:r>
          </w:p>
        </w:tc>
        <w:tc>
          <w:tcPr>
            <w:tcW w:w="1544" w:type="pct"/>
            <w:gridSpan w:val="2"/>
            <w:vAlign w:val="center"/>
          </w:tcPr>
          <w:p w14:paraId="6DFF30AD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输入及操作步骤</w:t>
            </w:r>
          </w:p>
        </w:tc>
        <w:tc>
          <w:tcPr>
            <w:tcW w:w="1622" w:type="pct"/>
            <w:vAlign w:val="center"/>
          </w:tcPr>
          <w:p w14:paraId="78034E9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期望测试结果</w:t>
            </w:r>
          </w:p>
        </w:tc>
        <w:tc>
          <w:tcPr>
            <w:tcW w:w="649" w:type="pct"/>
            <w:vAlign w:val="center"/>
          </w:tcPr>
          <w:p w14:paraId="1E9B606C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评估准则</w:t>
            </w:r>
          </w:p>
        </w:tc>
        <w:tc>
          <w:tcPr>
            <w:tcW w:w="817" w:type="pct"/>
            <w:vAlign w:val="center"/>
          </w:tcPr>
          <w:p w14:paraId="1E6A2414">
            <w:pPr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szCs w:val="21"/>
              </w:rPr>
              <w:t>符合性判定（√或×或测试结果）</w:t>
            </w:r>
          </w:p>
        </w:tc>
      </w:tr>
      <w:tr w14:paraId="3C17F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550DF32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1</w:t>
            </w:r>
          </w:p>
        </w:tc>
        <w:tc>
          <w:tcPr>
            <w:tcW w:w="1544" w:type="pct"/>
            <w:gridSpan w:val="2"/>
            <w:vAlign w:val="center"/>
          </w:tcPr>
          <w:p w14:paraId="4F48C4E6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在视频分析结果页面，查看动态认知图的'目标维度'分支结构</w:t>
            </w:r>
          </w:p>
        </w:tc>
        <w:tc>
          <w:tcPr>
            <w:tcW w:w="1622" w:type="pct"/>
            <w:vAlign w:val="center"/>
          </w:tcPr>
          <w:p w14:paraId="09CCC6A8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认知图展示5类目标维度：人员节点、车辆节点、飞机节点、旗帜节点、场景节点，每类通过独立节点标识</w:t>
            </w:r>
          </w:p>
        </w:tc>
        <w:tc>
          <w:tcPr>
            <w:tcW w:w="649" w:type="pct"/>
            <w:vAlign w:val="center"/>
          </w:tcPr>
          <w:p w14:paraId="052E013B">
            <w:pPr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5类目标维度分类完整，层级结构清晰</w:t>
            </w:r>
          </w:p>
        </w:tc>
        <w:tc>
          <w:tcPr>
            <w:tcW w:w="817" w:type="pct"/>
            <w:vAlign w:val="center"/>
          </w:tcPr>
          <w:p w14:paraId="07D88CB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88A74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6C96C2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2</w:t>
            </w:r>
          </w:p>
        </w:tc>
        <w:tc>
          <w:tcPr>
            <w:tcW w:w="1544" w:type="pct"/>
            <w:gridSpan w:val="2"/>
            <w:vAlign w:val="center"/>
          </w:tcPr>
          <w:p w14:paraId="556CB89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展开'人员节点'查看人员类目标的子分类</w:t>
            </w:r>
          </w:p>
          <w:p w14:paraId="47A56A9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1622" w:type="pct"/>
            <w:vAlign w:val="center"/>
          </w:tcPr>
          <w:p w14:paraId="443A44F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人员节点下包含仪仗人员、受阅方队、士兵、军官、医护兵、群众、讲话领导等至少7种子目标类型</w:t>
            </w:r>
          </w:p>
        </w:tc>
        <w:tc>
          <w:tcPr>
            <w:tcW w:w="649" w:type="pct"/>
            <w:vAlign w:val="center"/>
          </w:tcPr>
          <w:p w14:paraId="1AB46E20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人员类目标子分类≥7种，分类细致</w:t>
            </w:r>
          </w:p>
        </w:tc>
        <w:tc>
          <w:tcPr>
            <w:tcW w:w="817" w:type="pct"/>
            <w:vAlign w:val="center"/>
          </w:tcPr>
          <w:p w14:paraId="41E1EEC7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A3BBD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6D5419B6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3</w:t>
            </w:r>
          </w:p>
        </w:tc>
        <w:tc>
          <w:tcPr>
            <w:tcW w:w="1544" w:type="pct"/>
            <w:gridSpan w:val="2"/>
            <w:vAlign w:val="center"/>
          </w:tcPr>
          <w:p w14:paraId="7FFE335E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展开'车辆节点'和'飞机节点'查看装备类目标的子分类</w:t>
            </w:r>
          </w:p>
        </w:tc>
        <w:tc>
          <w:tcPr>
            <w:tcW w:w="1622" w:type="pct"/>
            <w:vAlign w:val="center"/>
          </w:tcPr>
          <w:p w14:paraId="3D521B5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车辆节点包含装备车辆、装甲车辆、坦克、导弹运输车、雷达车辆、无人装备等≥6种；飞机节点包含运输机、加油机、战斗机、空中编队等≥4种</w:t>
            </w:r>
          </w:p>
        </w:tc>
        <w:tc>
          <w:tcPr>
            <w:tcW w:w="649" w:type="pct"/>
            <w:vAlign w:val="center"/>
          </w:tcPr>
          <w:p w14:paraId="1E7C0BA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装备类目标子分类丰富，地面≥6种、空中≥4种</w:t>
            </w:r>
          </w:p>
        </w:tc>
        <w:tc>
          <w:tcPr>
            <w:tcW w:w="817" w:type="pct"/>
          </w:tcPr>
          <w:p w14:paraId="3F6B2A8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2B8AA0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71CCE493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>4</w:t>
            </w:r>
          </w:p>
        </w:tc>
        <w:tc>
          <w:tcPr>
            <w:tcW w:w="1544" w:type="pct"/>
            <w:gridSpan w:val="2"/>
            <w:vAlign w:val="center"/>
          </w:tcPr>
          <w:p w14:paraId="620238D7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在认知图中查看5类目标关联关系边的展示</w:t>
            </w:r>
          </w:p>
        </w:tc>
        <w:tc>
          <w:tcPr>
            <w:tcW w:w="1622" w:type="pct"/>
            <w:vAlign w:val="center"/>
          </w:tcPr>
          <w:p w14:paraId="3915C2B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>关系边覆盖同屏出现、空间邻近、队列从属、运动方向一致、时间先后共5种类型，不同关系类型以不同样式区分</w:t>
            </w:r>
          </w:p>
        </w:tc>
        <w:tc>
          <w:tcPr>
            <w:tcW w:w="649" w:type="pct"/>
            <w:vAlign w:val="center"/>
          </w:tcPr>
          <w:p w14:paraId="271CA1A3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5类关系边全部展示，目标关联网络完整可辨</w:t>
            </w:r>
          </w:p>
        </w:tc>
        <w:tc>
          <w:tcPr>
            <w:tcW w:w="817" w:type="pct"/>
            <w:vAlign w:val="center"/>
          </w:tcPr>
          <w:p w14:paraId="61B71B9C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BBF9D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886DEF1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535E0B29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B5097C1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66D9CE6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24C7BC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AD0E0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214D18D0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4D0FAEA5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55660E93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34C4F2BA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02C155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37E097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" w:hRule="atLeast"/>
        </w:trPr>
        <w:tc>
          <w:tcPr>
            <w:tcW w:w="368" w:type="pct"/>
            <w:vAlign w:val="center"/>
          </w:tcPr>
          <w:p w14:paraId="42428BDB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346C375A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7F2909C0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066FCD54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2AABB772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6B30DD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368" w:type="pct"/>
            <w:vAlign w:val="center"/>
          </w:tcPr>
          <w:p w14:paraId="1D65BF6D">
            <w:pPr>
              <w:widowControl/>
              <w:numPr>
                <w:ilvl w:val="0"/>
                <w:numId w:val="4"/>
              </w:numPr>
              <w:ind w:left="0" w:firstLine="0" w:firstLineChars="0"/>
              <w:jc w:val="center"/>
              <w:rPr>
                <w:rFonts w:ascii="Times New Roman" w:hAnsi="Times New Roman" w:eastAsia="宋体" w:cs="Times New Roman"/>
                <w:bCs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544" w:type="pct"/>
            <w:gridSpan w:val="2"/>
            <w:vAlign w:val="center"/>
          </w:tcPr>
          <w:p w14:paraId="27260C72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1622" w:type="pct"/>
            <w:vAlign w:val="center"/>
          </w:tcPr>
          <w:p w14:paraId="2C87269D">
            <w:pPr>
              <w:textAlignment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649" w:type="pct"/>
            <w:vAlign w:val="center"/>
          </w:tcPr>
          <w:p w14:paraId="5EA80538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  <w:tc>
          <w:tcPr>
            <w:tcW w:w="817" w:type="pct"/>
            <w:vAlign w:val="center"/>
          </w:tcPr>
          <w:p w14:paraId="1339E46D">
            <w:pPr>
              <w:widowControl/>
              <w:jc w:val="center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/>
            </w:r>
          </w:p>
        </w:tc>
      </w:tr>
      <w:tr w14:paraId="4E8633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31E5559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测试结论</w:t>
            </w:r>
          </w:p>
        </w:tc>
        <w:tc>
          <w:tcPr>
            <w:tcW w:w="4095" w:type="pct"/>
            <w:gridSpan w:val="4"/>
            <w:vAlign w:val="center"/>
          </w:tcPr>
          <w:p w14:paraId="5D8E62DA">
            <w:pPr>
              <w:widowControl/>
              <w:jc w:val="left"/>
              <w:rPr>
                <w:rFonts w:ascii="Times New Roman" w:hAnsi="Times New Roman" w:cs="Times New Roman"/>
                <w:bCs/>
                <w:kern w:val="0"/>
                <w:szCs w:val="21"/>
              </w:rPr>
            </w:pPr>
            <w:r>
              <w:rPr>
                <w:rFonts w:eastAsia="宋体"/>
                <w:sz w:val="20"/>
              </w:rPr>
              <w:t xml:space="preserve">  □ 通过      □ 未通过     □ 未测试</w:t>
            </w:r>
          </w:p>
        </w:tc>
      </w:tr>
      <w:tr w14:paraId="638D7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70869F7E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操作人员</w:t>
            </w:r>
          </w:p>
        </w:tc>
        <w:tc>
          <w:tcPr>
            <w:tcW w:w="4095" w:type="pct"/>
            <w:gridSpan w:val="4"/>
            <w:vAlign w:val="center"/>
          </w:tcPr>
          <w:p w14:paraId="4AA35C9A">
            <w:pPr>
              <w:rPr>
                <w:rFonts w:ascii="Times New Roman" w:hAnsi="Times New Roman" w:cs="Times New Roman"/>
                <w:szCs w:val="24"/>
              </w:rPr>
            </w:pPr>
          </w:p>
        </w:tc>
      </w:tr>
      <w:tr w14:paraId="094FC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05" w:type="pct"/>
            <w:gridSpan w:val="2"/>
            <w:vAlign w:val="center"/>
          </w:tcPr>
          <w:p w14:paraId="67298EDB">
            <w:pPr>
              <w:spacing w:line="276" w:lineRule="auto"/>
              <w:jc w:val="center"/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</w:pPr>
            <w:r>
              <w:rPr>
                <w:rFonts w:ascii="Times New Roman" w:hAnsi="Times New Roman" w:eastAsia="黑体" w:cs="Times New Roman"/>
                <w:bCs/>
                <w:kern w:val="24"/>
                <w:szCs w:val="21"/>
              </w:rPr>
              <w:t>测试时间</w:t>
            </w:r>
          </w:p>
        </w:tc>
        <w:tc>
          <w:tcPr>
            <w:tcW w:w="4095" w:type="pct"/>
            <w:gridSpan w:val="4"/>
            <w:vAlign w:val="center"/>
          </w:tcPr>
          <w:p w14:paraId="1B9F19BF">
            <w:pPr>
              <w:rPr>
                <w:rFonts w:ascii="Times New Roman" w:hAnsi="Times New Roman" w:cs="Times New Roman"/>
              </w:rPr>
            </w:pP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