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E40943">
      <w:pPr>
        <w:keepNext/>
        <w:keepLines/>
        <w:widowControl w:val="0"/>
        <w:numPr>
          <w:ilvl w:val="0"/>
          <w:numId w:val="0"/>
        </w:numPr>
        <w:autoSpaceDE w:val="0"/>
        <w:autoSpaceDN w:val="0"/>
        <w:adjustRightInd w:val="0"/>
        <w:ind w:left="0" w:firstLine="422" w:firstLineChars="150"/>
        <w:jc w:val="both"/>
        <w:outlineLvl w:val="1"/>
        <w:rPr>
          <w:rFonts w:ascii="Times New Roman" w:hAnsi="Times New Roman" w:eastAsia="宋体" w:cs="Times New Roman"/>
          <w:b/>
          <w:bCs/>
          <w:color w:val="auto"/>
          <w:kern w:val="44"/>
          <w:sz w:val="28"/>
          <w:szCs w:val="28"/>
          <w:lang w:val="en-US" w:eastAsia="zh-CN" w:bidi="ar-SA"/>
        </w:rPr>
      </w:pPr>
      <w:bookmarkStart w:id="0" w:name="_Toc169531154"/>
      <w:bookmarkStart w:id="1" w:name="_Toc8598"/>
      <w:r>
        <w:rPr>
          <w:rFonts w:ascii="Times New Roman" w:hAnsi="Times New Roman" w:eastAsia="宋体" w:cs="Times New Roman"/>
          <w:b/>
          <w:bCs/>
          <w:color w:val="auto"/>
          <w:kern w:val="44"/>
          <w:sz w:val="28"/>
          <w:szCs w:val="28"/>
          <w:lang w:val="en-US" w:eastAsia="zh-CN" w:bidi="ar-SA"/>
        </w:rPr>
        <w:t>5.1 功能测试</w:t>
      </w:r>
      <w:bookmarkEnd w:id="0"/>
      <w:bookmarkEnd w:id="1"/>
    </w:p>
    <w:p w14:paraId="0C7B126B">
      <w:pPr>
        <w:keepNext/>
        <w:keepLines/>
        <w:widowControl w:val="0"/>
        <w:numPr>
          <w:ilvl w:val="2"/>
          <w:numId w:val="3"/>
        </w:numPr>
        <w:autoSpaceDE w:val="0"/>
        <w:autoSpaceDN w:val="0"/>
        <w:adjustRightInd w:val="0"/>
        <w:ind w:left="397" w:firstLine="0" w:firstLineChars="0"/>
        <w:jc w:val="both"/>
        <w:outlineLvl w:val="2"/>
        <w:rPr>
          <w:rFonts w:ascii="Times New Roman" w:hAnsi="Times New Roman" w:eastAsia="宋体" w:cs="Times New Roman"/>
          <w:b/>
          <w:bCs w:val="0"/>
          <w:color w:val="auto"/>
          <w:kern w:val="44"/>
          <w:sz w:val="28"/>
          <w:szCs w:val="24"/>
          <w:lang w:val="en-US" w:eastAsia="zh-CN" w:bidi="ar-SA"/>
        </w:rPr>
      </w:pPr>
      <w:bookmarkStart w:id="2" w:name="_Toc5835"/>
      <w:r>
        <w:rPr>
          <w:rFonts w:ascii="Times New Roman" w:hAnsi="Times New Roman" w:eastAsia="宋体" w:cs="Times New Roman"/>
          <w:b/>
          <w:bCs w:val="0"/>
          <w:color w:val="auto"/>
          <w:kern w:val="44"/>
          <w:sz w:val="28"/>
          <w:szCs w:val="24"/>
          <w:lang w:val="en-US" w:eastAsia="zh-CN" w:bidi="ar-SA"/>
        </w:rPr>
        <w:fldChar w:fldCharType="begin"/>
      </w:r>
      <w:r>
        <w:rPr>
          <w:rFonts w:ascii="Times New Roman" w:hAnsi="Times New Roman" w:eastAsia="宋体" w:cs="Times New Roman"/>
          <w:b/>
          <w:bCs w:val="0"/>
          <w:color w:val="auto"/>
          <w:kern w:val="44"/>
          <w:sz w:val="28"/>
          <w:szCs w:val="24"/>
          <w:lang w:val="en-US" w:eastAsia="zh-CN" w:bidi="ar-SA"/>
        </w:rPr>
        <w:instrText xml:space="preserve"> REF 海空目标信息关联展现 \h  \* MERGEFORMAT </w:instrText>
      </w:r>
      <w:r>
        <w:rPr>
          <w:rFonts w:ascii="Times New Roman" w:hAnsi="Times New Roman" w:eastAsia="宋体" w:cs="Times New Roman"/>
          <w:b/>
          <w:bCs w:val="0"/>
          <w:color w:val="auto"/>
          <w:kern w:val="44"/>
          <w:sz w:val="28"/>
          <w:szCs w:val="24"/>
          <w:lang w:val="en-US" w:eastAsia="zh-CN" w:bidi="ar-SA"/>
        </w:rPr>
        <w:fldChar w:fldCharType="separate"/>
      </w:r>
      <w:bookmarkStart w:id="3" w:name="_Toc175510187"/>
      <w:bookmarkStart w:id="4" w:name="_Toc169531155"/>
      <w:r>
        <w:rPr>
          <w:rFonts w:hint="eastAsia" w:ascii="Times New Roman" w:hAnsi="Times New Roman" w:eastAsia="宋体" w:cs="Times New Roman"/>
          <w:b/>
          <w:bCs w:val="0"/>
          <w:color w:val="auto"/>
          <w:kern w:val="44"/>
          <w:sz w:val="28"/>
          <w:szCs w:val="24"/>
          <w:lang w:val="en-US" w:eastAsia="zh-CN" w:bidi="ar-SA"/>
        </w:rPr>
        <w:t>事件目标</w:t>
      </w:r>
      <w:r>
        <w:rPr>
          <w:rFonts w:ascii="Times New Roman" w:hAnsi="Times New Roman" w:eastAsia="宋体" w:cs="Times New Roman"/>
          <w:b/>
          <w:bCs w:val="0"/>
          <w:color w:val="auto"/>
          <w:kern w:val="44"/>
          <w:sz w:val="28"/>
          <w:szCs w:val="24"/>
          <w:lang w:val="en-US" w:eastAsia="zh-CN" w:bidi="ar-SA"/>
        </w:rPr>
        <w:t>信息关联展现</w:t>
      </w:r>
      <w:r>
        <w:rPr>
          <w:rFonts w:ascii="Times New Roman" w:hAnsi="Times New Roman" w:eastAsia="宋体" w:cs="Times New Roman"/>
          <w:b/>
          <w:bCs w:val="0"/>
          <w:color w:val="auto"/>
          <w:kern w:val="44"/>
          <w:sz w:val="28"/>
          <w:szCs w:val="24"/>
          <w:lang w:val="en-US" w:eastAsia="zh-CN" w:bidi="ar-SA"/>
        </w:rPr>
        <w:fldChar w:fldCharType="end"/>
      </w:r>
      <w:r>
        <w:rPr>
          <w:rFonts w:ascii="Times New Roman" w:hAnsi="Times New Roman" w:eastAsia="宋体" w:cs="Times New Roman"/>
          <w:b/>
          <w:bCs w:val="0"/>
          <w:color w:val="auto"/>
          <w:kern w:val="44"/>
          <w:sz w:val="28"/>
          <w:szCs w:val="24"/>
          <w:lang w:val="en-US" w:eastAsia="zh-CN" w:bidi="ar-SA"/>
        </w:rPr>
        <w:t>功能测试（</w:t>
      </w:r>
      <w:r>
        <w:rPr>
          <w:rFonts w:ascii="Times New Roman" w:hAnsi="Times New Roman" w:eastAsia="宋体" w:cs="Times New Roman"/>
          <w:b/>
          <w:bCs w:val="0"/>
          <w:color w:val="auto"/>
          <w:kern w:val="44"/>
          <w:sz w:val="28"/>
          <w:szCs w:val="24"/>
          <w:lang w:val="en-US" w:eastAsia="zh-CN" w:bidi="ar-SA"/>
        </w:rPr>
        <w:fldChar w:fldCharType="begin"/>
      </w:r>
      <w:r>
        <w:rPr>
          <w:rFonts w:ascii="Times New Roman" w:hAnsi="Times New Roman" w:eastAsia="宋体" w:cs="Times New Roman"/>
          <w:b/>
          <w:bCs w:val="0"/>
          <w:color w:val="auto"/>
          <w:kern w:val="44"/>
          <w:sz w:val="28"/>
          <w:szCs w:val="24"/>
          <w:lang w:val="en-US" w:eastAsia="zh-CN" w:bidi="ar-SA"/>
        </w:rPr>
        <w:instrText xml:space="preserve"> REF GN001 \h  \* MERGEFORMAT </w:instrText>
      </w:r>
      <w:r>
        <w:rPr>
          <w:rFonts w:ascii="Times New Roman" w:hAnsi="Times New Roman" w:eastAsia="宋体" w:cs="Times New Roman"/>
          <w:b/>
          <w:bCs w:val="0"/>
          <w:color w:val="auto"/>
          <w:kern w:val="44"/>
          <w:sz w:val="28"/>
          <w:szCs w:val="24"/>
          <w:lang w:val="en-US" w:eastAsia="zh-CN" w:bidi="ar-SA"/>
        </w:rPr>
        <w:fldChar w:fldCharType="separate"/>
      </w:r>
      <w:r>
        <w:rPr>
          <w:rFonts w:ascii="Times New Roman" w:hAnsi="Times New Roman" w:eastAsia="宋体" w:cs="Times New Roman"/>
          <w:b/>
          <w:bCs w:val="0"/>
          <w:color w:val="auto"/>
          <w:kern w:val="44"/>
          <w:sz w:val="28"/>
          <w:szCs w:val="24"/>
          <w:lang w:val="en-US" w:eastAsia="zh-CN" w:bidi="ar-SA"/>
        </w:rPr>
        <w:t>GN-001</w:t>
      </w:r>
      <w:r>
        <w:rPr>
          <w:rFonts w:ascii="Times New Roman" w:hAnsi="Times New Roman" w:eastAsia="宋体" w:cs="Times New Roman"/>
          <w:b/>
          <w:bCs w:val="0"/>
          <w:color w:val="auto"/>
          <w:kern w:val="44"/>
          <w:sz w:val="28"/>
          <w:szCs w:val="24"/>
          <w:lang w:val="en-US" w:eastAsia="zh-CN" w:bidi="ar-SA"/>
        </w:rPr>
        <w:fldChar w:fldCharType="end"/>
      </w:r>
      <w:r>
        <w:rPr>
          <w:rFonts w:ascii="Times New Roman" w:hAnsi="Times New Roman" w:eastAsia="宋体" w:cs="Times New Roman"/>
          <w:b/>
          <w:bCs w:val="0"/>
          <w:color w:val="auto"/>
          <w:kern w:val="44"/>
          <w:sz w:val="28"/>
          <w:szCs w:val="24"/>
          <w:lang w:val="en-US" w:eastAsia="zh-CN" w:bidi="ar-SA"/>
        </w:rPr>
        <w:t>）</w:t>
      </w:r>
      <w:bookmarkEnd w:id="2"/>
      <w:bookmarkEnd w:id="3"/>
      <w:bookmarkEnd w:id="4"/>
    </w:p>
    <w:p w14:paraId="0B79810C">
      <w:pPr>
        <w:widowControl w:val="0"/>
        <w:spacing w:before="120" w:after="120"/>
        <w:jc w:val="center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 xml:space="preserve">表5-1 </w:t>
      </w: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fldChar w:fldCharType="begin"/>
      </w: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instrText xml:space="preserve"> REF 海空目标信息关联展现 \h  \* MERGEFORMAT </w:instrText>
      </w: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fldChar w:fldCharType="separate"/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事件目标</w:t>
      </w: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信息关联展现</w:t>
      </w: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fldChar w:fldCharType="end"/>
      </w: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功能测试用例</w:t>
      </w:r>
    </w:p>
    <w:tbl>
      <w:tblPr>
        <w:tblStyle w:val="3"/>
        <w:tblW w:w="494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0"/>
        <w:gridCol w:w="904"/>
        <w:gridCol w:w="1697"/>
        <w:gridCol w:w="2732"/>
        <w:gridCol w:w="1093"/>
        <w:gridCol w:w="1376"/>
      </w:tblGrid>
      <w:tr w14:paraId="40639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0020266A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测试用例名称</w:t>
            </w:r>
          </w:p>
        </w:tc>
        <w:tc>
          <w:tcPr>
            <w:tcW w:w="4095" w:type="pct"/>
            <w:gridSpan w:val="4"/>
            <w:vAlign w:val="center"/>
          </w:tcPr>
          <w:p w14:paraId="2B1EFFAF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fldChar w:fldCharType="begin"/>
            </w:r>
            <w:r>
              <w:rPr>
                <w:rFonts w:ascii="Times New Roman" w:hAnsi="Times New Roman" w:cs="Times New Roman"/>
                <w:kern w:val="0"/>
                <w:szCs w:val="21"/>
              </w:rPr>
              <w:instrText xml:space="preserve"> REF 海空目标信息关联展现 \h  \* MERGEFORMAT </w:instrText>
            </w:r>
            <w:r>
              <w:rPr>
                <w:rFonts w:ascii="Times New Roman" w:hAnsi="Times New Roman" w:cs="Times New Roman"/>
                <w:kern w:val="0"/>
                <w:szCs w:val="21"/>
              </w:rPr>
              <w:fldChar w:fldCharType="separate"/>
            </w:r>
            <w:r>
              <w:rPr>
                <w:rFonts w:hint="eastAsia" w:ascii="Times New Roman" w:hAnsi="Times New Roman" w:cs="Times New Roman"/>
                <w:szCs w:val="24"/>
                <w:lang w:eastAsia="zh-CN"/>
              </w:rPr>
              <w:t>事件目标</w:t>
            </w:r>
            <w:r>
              <w:rPr>
                <w:rFonts w:ascii="Times New Roman" w:hAnsi="Times New Roman" w:cs="Times New Roman"/>
                <w:szCs w:val="24"/>
              </w:rPr>
              <w:t>信息关联展现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fldChar w:fldCharType="end"/>
            </w:r>
            <w:r>
              <w:rPr>
                <w:rFonts w:ascii="Times New Roman" w:hAnsi="Times New Roman" w:cs="Times New Roman"/>
                <w:kern w:val="0"/>
                <w:szCs w:val="21"/>
              </w:rPr>
              <w:t>功能测试</w:t>
            </w:r>
          </w:p>
        </w:tc>
      </w:tr>
      <w:tr w14:paraId="749B0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50A584CB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测试用例标识</w:t>
            </w:r>
          </w:p>
        </w:tc>
        <w:tc>
          <w:tcPr>
            <w:tcW w:w="4095" w:type="pct"/>
            <w:gridSpan w:val="4"/>
            <w:vAlign w:val="center"/>
          </w:tcPr>
          <w:p w14:paraId="5B670238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bookmarkStart w:id="5" w:name="GN001"/>
            <w:r>
              <w:rPr>
                <w:rFonts w:ascii="Times New Roman" w:hAnsi="Times New Roman" w:cs="Times New Roman"/>
                <w:szCs w:val="21"/>
              </w:rPr>
              <w:t>GN-001</w:t>
            </w:r>
            <w:bookmarkEnd w:id="5"/>
          </w:p>
        </w:tc>
      </w:tr>
      <w:tr w14:paraId="16D45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204D2F49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测试用例描述</w:t>
            </w:r>
          </w:p>
        </w:tc>
        <w:tc>
          <w:tcPr>
            <w:tcW w:w="4095" w:type="pct"/>
            <w:gridSpan w:val="4"/>
            <w:vAlign w:val="center"/>
          </w:tcPr>
          <w:p w14:paraId="76CC247B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本测试用例以</w:t>
            </w:r>
            <w:r>
              <w:rPr>
                <w:rFonts w:ascii="Times New Roman" w:hAnsi="Times New Roman" w:eastAsia="宋体" w:cs="Times New Roman"/>
              </w:rPr>
              <w:t>典型场景事件数据集为基础，选取某</w:t>
            </w:r>
            <w:r>
              <w:rPr>
                <w:rFonts w:hint="eastAsia" w:ascii="Times New Roman" w:hAnsi="Times New Roman" w:eastAsia="宋体" w:cs="Times New Roman"/>
                <w:szCs w:val="21"/>
                <w:lang w:eastAsia="zh-CN"/>
              </w:rPr>
              <w:t>**</w:t>
            </w:r>
            <w:r>
              <w:rPr>
                <w:rFonts w:ascii="Times New Roman" w:hAnsi="Times New Roman" w:cs="Times New Roman"/>
                <w:szCs w:val="21"/>
              </w:rPr>
              <w:t>导弹试射</w:t>
            </w:r>
            <w:r>
              <w:rPr>
                <w:rFonts w:ascii="Times New Roman" w:hAnsi="Times New Roman" w:eastAsia="宋体" w:cs="Times New Roman"/>
              </w:rPr>
              <w:t>事件为测试数据，测试平台信息关联展现维度，支持不少于时间、空间、目标、标签、分类等5个维度</w:t>
            </w:r>
          </w:p>
        </w:tc>
      </w:tr>
      <w:tr w14:paraId="519FE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400605D8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涉及的指标</w:t>
            </w:r>
          </w:p>
        </w:tc>
        <w:tc>
          <w:tcPr>
            <w:tcW w:w="4095" w:type="pct"/>
            <w:gridSpan w:val="4"/>
            <w:vAlign w:val="center"/>
          </w:tcPr>
          <w:p w14:paraId="3EAF0176">
            <w:pPr>
              <w:widowControl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支持信息关联展现维度，支持不少于时间、空间、目标、标签、分类等5个维度</w:t>
            </w:r>
          </w:p>
        </w:tc>
      </w:tr>
      <w:tr w14:paraId="12FDD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2D7BCD04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前提和约束</w:t>
            </w:r>
          </w:p>
        </w:tc>
        <w:tc>
          <w:tcPr>
            <w:tcW w:w="4095" w:type="pct"/>
            <w:gridSpan w:val="4"/>
            <w:vAlign w:val="center"/>
          </w:tcPr>
          <w:p w14:paraId="2481E8B4">
            <w:pPr>
              <w:widowControl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可信情报分析服务平台</w:t>
            </w:r>
            <w:r>
              <w:rPr>
                <w:rFonts w:ascii="Times New Roman" w:hAnsi="Times New Roman" w:cs="Times New Roman"/>
                <w:szCs w:val="21"/>
              </w:rPr>
              <w:t>正常运行且可以访问</w:t>
            </w:r>
          </w:p>
        </w:tc>
      </w:tr>
      <w:tr w14:paraId="38299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6AEF955D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测试终止条件</w:t>
            </w:r>
          </w:p>
        </w:tc>
        <w:tc>
          <w:tcPr>
            <w:tcW w:w="4095" w:type="pct"/>
            <w:gridSpan w:val="4"/>
            <w:vAlign w:val="center"/>
          </w:tcPr>
          <w:p w14:paraId="2E03EB0A">
            <w:pPr>
              <w:widowControl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所有测试步骤执行完毕而终止，或因软件运行错误终止</w:t>
            </w:r>
          </w:p>
        </w:tc>
      </w:tr>
      <w:tr w14:paraId="2267C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000" w:type="pct"/>
            <w:gridSpan w:val="6"/>
            <w:vAlign w:val="center"/>
          </w:tcPr>
          <w:p w14:paraId="3119A033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测试过程</w:t>
            </w:r>
          </w:p>
        </w:tc>
      </w:tr>
      <w:tr w14:paraId="7ADBB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2F184BAC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序号</w:t>
            </w:r>
          </w:p>
        </w:tc>
        <w:tc>
          <w:tcPr>
            <w:tcW w:w="1544" w:type="pct"/>
            <w:gridSpan w:val="2"/>
            <w:vAlign w:val="center"/>
          </w:tcPr>
          <w:p w14:paraId="6DFF30AD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输入及操作步骤</w:t>
            </w:r>
          </w:p>
        </w:tc>
        <w:tc>
          <w:tcPr>
            <w:tcW w:w="1622" w:type="pct"/>
            <w:vAlign w:val="center"/>
          </w:tcPr>
          <w:p w14:paraId="78034E9C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期望测试结果</w:t>
            </w:r>
          </w:p>
        </w:tc>
        <w:tc>
          <w:tcPr>
            <w:tcW w:w="649" w:type="pct"/>
            <w:vAlign w:val="center"/>
          </w:tcPr>
          <w:p w14:paraId="1E9B606C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评估准则</w:t>
            </w:r>
          </w:p>
        </w:tc>
        <w:tc>
          <w:tcPr>
            <w:tcW w:w="817" w:type="pct"/>
            <w:vAlign w:val="center"/>
          </w:tcPr>
          <w:p w14:paraId="1E6A2414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szCs w:val="21"/>
              </w:rPr>
              <w:t>符合性判定（√或×或测试结果）</w:t>
            </w:r>
          </w:p>
        </w:tc>
      </w:tr>
      <w:tr w14:paraId="3C17F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550DF321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544" w:type="pct"/>
            <w:gridSpan w:val="2"/>
            <w:vAlign w:val="center"/>
          </w:tcPr>
          <w:p w14:paraId="4F48C4E6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打开可信情报分析服务平台，点击“情报知识图谱”导航栏按钮</w:t>
            </w:r>
          </w:p>
        </w:tc>
        <w:tc>
          <w:tcPr>
            <w:tcW w:w="1622" w:type="pct"/>
            <w:vAlign w:val="center"/>
          </w:tcPr>
          <w:p w14:paraId="09CCC6A8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进入知识图谱主界面</w:t>
            </w:r>
          </w:p>
        </w:tc>
        <w:tc>
          <w:tcPr>
            <w:tcW w:w="649" w:type="pct"/>
            <w:vMerge w:val="restart"/>
            <w:vAlign w:val="center"/>
          </w:tcPr>
          <w:p w14:paraId="052E013B">
            <w:pPr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Cs/>
                <w:kern w:val="0"/>
                <w:szCs w:val="21"/>
              </w:rPr>
              <w:t>与期望测试结果一致</w:t>
            </w:r>
          </w:p>
        </w:tc>
        <w:tc>
          <w:tcPr>
            <w:tcW w:w="817" w:type="pct"/>
            <w:vAlign w:val="center"/>
          </w:tcPr>
          <w:p w14:paraId="07D88CB5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</w:p>
        </w:tc>
      </w:tr>
      <w:tr w14:paraId="688A7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76C96C2B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544" w:type="pct"/>
            <w:gridSpan w:val="2"/>
            <w:vAlign w:val="center"/>
          </w:tcPr>
          <w:p w14:paraId="556CB897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选取测试数据</w:t>
            </w:r>
            <w:r>
              <w:rPr>
                <w:rFonts w:hint="eastAsia" w:ascii="Times New Roman" w:hAnsi="Times New Roman" w:cs="Times New Roman"/>
                <w:szCs w:val="21"/>
              </w:rPr>
              <w:t>：</w:t>
            </w:r>
          </w:p>
          <w:p w14:paraId="47A56A92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在左侧实体列表栏搜索框中输入“2022-03-24”</w:t>
            </w:r>
          </w:p>
        </w:tc>
        <w:tc>
          <w:tcPr>
            <w:tcW w:w="1622" w:type="pct"/>
            <w:vAlign w:val="center"/>
          </w:tcPr>
          <w:p w14:paraId="443A44F5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左侧实体列表栏出现搜索结果实体列表，应包括“2022-03-24 导弹试射事件”实体</w:t>
            </w:r>
          </w:p>
        </w:tc>
        <w:tc>
          <w:tcPr>
            <w:tcW w:w="649" w:type="pct"/>
            <w:vMerge w:val="continue"/>
            <w:vAlign w:val="center"/>
          </w:tcPr>
          <w:p w14:paraId="1AB46E20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</w:p>
        </w:tc>
        <w:tc>
          <w:tcPr>
            <w:tcW w:w="817" w:type="pct"/>
            <w:vAlign w:val="center"/>
          </w:tcPr>
          <w:p w14:paraId="41E1EEC7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</w:p>
        </w:tc>
      </w:tr>
      <w:tr w14:paraId="6A3BB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6D5419B6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544" w:type="pct"/>
            <w:gridSpan w:val="2"/>
            <w:vAlign w:val="center"/>
          </w:tcPr>
          <w:p w14:paraId="7FFE335E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在左侧实体栏列表中，点击“2022-03-24 导弹试射事件”实体</w:t>
            </w:r>
          </w:p>
        </w:tc>
        <w:tc>
          <w:tcPr>
            <w:tcW w:w="1622" w:type="pct"/>
            <w:vAlign w:val="center"/>
          </w:tcPr>
          <w:p w14:paraId="3D521B57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右侧边栏出现实体详情列表</w:t>
            </w:r>
          </w:p>
        </w:tc>
        <w:tc>
          <w:tcPr>
            <w:tcW w:w="649" w:type="pct"/>
            <w:vMerge w:val="continue"/>
            <w:vAlign w:val="center"/>
          </w:tcPr>
          <w:p w14:paraId="1E7C0BAA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</w:p>
        </w:tc>
        <w:tc>
          <w:tcPr>
            <w:tcW w:w="817" w:type="pct"/>
          </w:tcPr>
          <w:p w14:paraId="3F6B2A88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</w:p>
        </w:tc>
      </w:tr>
      <w:tr w14:paraId="2B8AA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71CCE493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544" w:type="pct"/>
            <w:gridSpan w:val="2"/>
            <w:vAlign w:val="center"/>
          </w:tcPr>
          <w:p w14:paraId="620238D7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在右侧边栏的实体名称下方查看实体时间信息</w:t>
            </w:r>
          </w:p>
        </w:tc>
        <w:tc>
          <w:tcPr>
            <w:tcW w:w="1622" w:type="pct"/>
            <w:vAlign w:val="center"/>
          </w:tcPr>
          <w:p w14:paraId="3915C2B0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应查看到实体时间维度信息，如“时间：2022-03-24 05:34:00”</w:t>
            </w:r>
          </w:p>
        </w:tc>
        <w:tc>
          <w:tcPr>
            <w:tcW w:w="649" w:type="pct"/>
            <w:vMerge w:val="continue"/>
            <w:vAlign w:val="center"/>
          </w:tcPr>
          <w:p w14:paraId="271CA1A3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</w:p>
        </w:tc>
        <w:tc>
          <w:tcPr>
            <w:tcW w:w="817" w:type="pct"/>
            <w:vAlign w:val="center"/>
          </w:tcPr>
          <w:p w14:paraId="61B71B9C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</w:p>
        </w:tc>
      </w:tr>
      <w:tr w14:paraId="4BBF9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1886DEF1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544" w:type="pct"/>
            <w:gridSpan w:val="2"/>
            <w:vAlign w:val="center"/>
          </w:tcPr>
          <w:p w14:paraId="535E0B29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在右侧边栏实体名称下方查看实体分类信息</w:t>
            </w:r>
          </w:p>
        </w:tc>
        <w:tc>
          <w:tcPr>
            <w:tcW w:w="1622" w:type="pct"/>
            <w:vAlign w:val="center"/>
          </w:tcPr>
          <w:p w14:paraId="5B5097C1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应查看到实体分类维度信息，如“导弹试射事件”</w:t>
            </w:r>
          </w:p>
        </w:tc>
        <w:tc>
          <w:tcPr>
            <w:tcW w:w="649" w:type="pct"/>
            <w:vMerge w:val="continue"/>
            <w:vAlign w:val="center"/>
          </w:tcPr>
          <w:p w14:paraId="66D9CE68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</w:p>
        </w:tc>
        <w:tc>
          <w:tcPr>
            <w:tcW w:w="817" w:type="pct"/>
            <w:vAlign w:val="center"/>
          </w:tcPr>
          <w:p w14:paraId="224C7BCD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</w:p>
        </w:tc>
      </w:tr>
      <w:tr w14:paraId="3AD0E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214D18D0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544" w:type="pct"/>
            <w:gridSpan w:val="2"/>
            <w:vAlign w:val="center"/>
          </w:tcPr>
          <w:p w14:paraId="4D0FAEA5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在右侧边栏实体详情列表中查看实体空间信息</w:t>
            </w:r>
          </w:p>
        </w:tc>
        <w:tc>
          <w:tcPr>
            <w:tcW w:w="1622" w:type="pct"/>
            <w:vAlign w:val="center"/>
          </w:tcPr>
          <w:p w14:paraId="55660E93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应查看到实体空间维度信息，如经度、纬度、落点位置等</w:t>
            </w:r>
          </w:p>
        </w:tc>
        <w:tc>
          <w:tcPr>
            <w:tcW w:w="649" w:type="pct"/>
            <w:vMerge w:val="continue"/>
            <w:vAlign w:val="center"/>
          </w:tcPr>
          <w:p w14:paraId="34C4F2BA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</w:p>
        </w:tc>
        <w:tc>
          <w:tcPr>
            <w:tcW w:w="817" w:type="pct"/>
            <w:vAlign w:val="center"/>
          </w:tcPr>
          <w:p w14:paraId="2A02C155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</w:p>
        </w:tc>
      </w:tr>
      <w:tr w14:paraId="37E09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" w:hRule="atLeast"/>
        </w:trPr>
        <w:tc>
          <w:tcPr>
            <w:tcW w:w="368" w:type="pct"/>
            <w:vAlign w:val="center"/>
          </w:tcPr>
          <w:p w14:paraId="42428BDB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544" w:type="pct"/>
            <w:gridSpan w:val="2"/>
            <w:vAlign w:val="center"/>
          </w:tcPr>
          <w:p w14:paraId="346C375A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在右侧边栏实体详情列表中查看实体标签信息</w:t>
            </w:r>
          </w:p>
        </w:tc>
        <w:tc>
          <w:tcPr>
            <w:tcW w:w="1622" w:type="pct"/>
            <w:vAlign w:val="center"/>
          </w:tcPr>
          <w:p w14:paraId="7F2909C0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应查看到实体标签维度信息，如“#NK #ICBM”等</w:t>
            </w:r>
          </w:p>
        </w:tc>
        <w:tc>
          <w:tcPr>
            <w:tcW w:w="649" w:type="pct"/>
            <w:vMerge w:val="continue"/>
            <w:vAlign w:val="center"/>
          </w:tcPr>
          <w:p w14:paraId="066FCD54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</w:p>
        </w:tc>
        <w:tc>
          <w:tcPr>
            <w:tcW w:w="817" w:type="pct"/>
            <w:vAlign w:val="center"/>
          </w:tcPr>
          <w:p w14:paraId="2AABB772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</w:p>
        </w:tc>
      </w:tr>
      <w:tr w14:paraId="6B30D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1D65BF6D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544" w:type="pct"/>
            <w:gridSpan w:val="2"/>
            <w:vAlign w:val="center"/>
          </w:tcPr>
          <w:p w14:paraId="27260C72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在右侧边栏点击“相关关系”按钮，查看实体关联目标信息</w:t>
            </w:r>
          </w:p>
        </w:tc>
        <w:tc>
          <w:tcPr>
            <w:tcW w:w="1622" w:type="pct"/>
            <w:vAlign w:val="center"/>
          </w:tcPr>
          <w:p w14:paraId="2C87269D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应查看到实体相关目标维度信息，如“涉及装备：R135”等</w:t>
            </w:r>
          </w:p>
        </w:tc>
        <w:tc>
          <w:tcPr>
            <w:tcW w:w="649" w:type="pct"/>
            <w:vMerge w:val="continue"/>
            <w:vAlign w:val="center"/>
          </w:tcPr>
          <w:p w14:paraId="5EA80538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</w:p>
        </w:tc>
        <w:tc>
          <w:tcPr>
            <w:tcW w:w="817" w:type="pct"/>
            <w:vAlign w:val="center"/>
          </w:tcPr>
          <w:p w14:paraId="1339E46D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</w:p>
        </w:tc>
      </w:tr>
      <w:tr w14:paraId="4E863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05" w:type="pct"/>
            <w:gridSpan w:val="2"/>
            <w:vAlign w:val="center"/>
          </w:tcPr>
          <w:p w14:paraId="631E5559">
            <w:pPr>
              <w:spacing w:line="276" w:lineRule="auto"/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测试结论</w:t>
            </w:r>
          </w:p>
        </w:tc>
        <w:tc>
          <w:tcPr>
            <w:tcW w:w="4095" w:type="pct"/>
            <w:gridSpan w:val="4"/>
            <w:vAlign w:val="center"/>
          </w:tcPr>
          <w:p w14:paraId="5D8E62DA">
            <w:pPr>
              <w:widowControl/>
              <w:jc w:val="left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  <w:bCs/>
              </w:rPr>
              <w:t>□ 通过      □ 未通过     □ 未测试</w:t>
            </w:r>
          </w:p>
        </w:tc>
      </w:tr>
      <w:tr w14:paraId="638D7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05" w:type="pct"/>
            <w:gridSpan w:val="2"/>
            <w:vAlign w:val="center"/>
          </w:tcPr>
          <w:p w14:paraId="70869F7E">
            <w:pPr>
              <w:spacing w:line="276" w:lineRule="auto"/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操作人员</w:t>
            </w:r>
          </w:p>
        </w:tc>
        <w:tc>
          <w:tcPr>
            <w:tcW w:w="4095" w:type="pct"/>
            <w:gridSpan w:val="4"/>
            <w:vAlign w:val="center"/>
          </w:tcPr>
          <w:p w14:paraId="4AA35C9A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14:paraId="094FC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05" w:type="pct"/>
            <w:gridSpan w:val="2"/>
            <w:vAlign w:val="center"/>
          </w:tcPr>
          <w:p w14:paraId="67298EDB">
            <w:pPr>
              <w:spacing w:line="276" w:lineRule="auto"/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测试时间</w:t>
            </w:r>
          </w:p>
        </w:tc>
        <w:tc>
          <w:tcPr>
            <w:tcW w:w="4095" w:type="pct"/>
            <w:gridSpan w:val="4"/>
            <w:vAlign w:val="center"/>
          </w:tcPr>
          <w:p w14:paraId="1B9F19BF">
            <w:pPr>
              <w:rPr>
                <w:rFonts w:ascii="Times New Roman" w:hAnsi="Times New Roman" w:cs="Times New Roman"/>
              </w:rPr>
            </w:pPr>
          </w:p>
        </w:tc>
      </w:tr>
    </w:tbl>
    <w:p w14:paraId="396A0583">
      <w:pPr>
        <w:rPr>
          <w:rFonts w:ascii="Times New Roman" w:hAnsi="Times New Roman" w:cs="Times New Roman"/>
        </w:rPr>
      </w:pPr>
    </w:p>
    <w:p w14:paraId="77022BA5">
      <w:bookmarkStart w:id="6" w:name="_GoBack"/>
      <w:bookmarkEnd w:id="6"/>
    </w:p>
    <w:p>
      <w:pPr>
        <w:jc w:val="both"/>
      </w:pPr>
      <w:r>
        <w:rPr>
          <w:rFonts w:ascii="Times New Roman" w:hAnsi="Times New Roman"/>
          <w:b/>
          <w:sz w:val="28"/>
        </w:rPr>
        <w:t>5.1.11 功能测试</w:t>
      </w:r>
    </w:p>
    <w:p>
      <w:pPr>
        <w:jc w:val="both"/>
      </w:pPr>
      <w:r>
        <w:rPr>
          <w:rFonts w:ascii="Times New Roman" w:hAnsi="Times New Roman"/>
          <w:b/>
          <w:sz w:val="28"/>
        </w:rPr>
        <w:t>基于时空事件数据的事件目标属性研判功能测试（GN-015）</w:t>
      </w:r>
    </w:p>
    <w:p>
      <w:pPr>
        <w:jc w:val="center"/>
      </w:pPr>
      <w:r>
        <w:rPr>
          <w:rFonts w:ascii="Times New Roman" w:hAnsi="Times New Roman"/>
          <w:sz w:val="24"/>
        </w:rPr>
        <w:t>表5-11 GN-015测试用例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2768"/>
            <w:gridSpan w:val="2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>测试用例名称</w:t>
            </w:r>
          </w:p>
        </w:tc>
        <w:tc>
          <w:tcPr>
            <w:tcW w:type="dxa" w:w="5536"/>
            <w:gridSpan w:val="4"/>
          </w:tcPr>
          <w:p>
            <w:r>
              <w:rPr>
                <w:rFonts w:ascii="Times New Roman" w:hAnsi="Times New Roman"/>
              </w:rPr>
              <w:t>基于时空事件数据的事件目标属性研判功能测试</w:t>
            </w:r>
          </w:p>
        </w:tc>
      </w:tr>
      <w:tr>
        <w:tc>
          <w:tcPr>
            <w:tcW w:type="dxa" w:w="2768"/>
            <w:gridSpan w:val="2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>测试用例标识</w:t>
            </w:r>
          </w:p>
        </w:tc>
        <w:tc>
          <w:tcPr>
            <w:tcW w:type="dxa" w:w="5536"/>
            <w:gridSpan w:val="4"/>
          </w:tcPr>
          <w:p>
            <w:r>
              <w:rPr>
                <w:rFonts w:ascii="Times New Roman" w:hAnsi="Times New Roman"/>
              </w:rPr>
              <w:t>GN-015</w:t>
            </w:r>
          </w:p>
        </w:tc>
      </w:tr>
      <w:tr>
        <w:tc>
          <w:tcPr>
            <w:tcW w:type="dxa" w:w="2768"/>
            <w:gridSpan w:val="2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>测试用例描述</w:t>
            </w:r>
          </w:p>
        </w:tc>
        <w:tc>
          <w:tcPr>
            <w:tcW w:type="dxa" w:w="5536"/>
            <w:gridSpan w:val="4"/>
          </w:tcPr>
          <w:p>
            <w:r>
              <w:rPr>
                <w:rFonts w:ascii="Times New Roman" w:hAnsi="Times New Roman"/>
              </w:rPr>
              <w:t>本测试用例验证系统对时空事件数据的属性研判能力，包括事件类型分类（抗议/冲突/军事活动/其他）、事件等级（特别重大/重大/较大/一般）、突发标记识别、地理位置标注以及日期时序分析。验收人通过点击事件点进入分析面板，逐项确认事件属性信息的完整性和准确性</w:t>
            </w:r>
          </w:p>
        </w:tc>
      </w:tr>
      <w:tr>
        <w:tc>
          <w:tcPr>
            <w:tcW w:type="dxa" w:w="2768"/>
            <w:gridSpan w:val="2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>涉及的指标</w:t>
            </w:r>
          </w:p>
        </w:tc>
        <w:tc>
          <w:tcPr>
            <w:tcW w:type="dxa" w:w="5536"/>
            <w:gridSpan w:val="4"/>
          </w:tcPr>
          <w:p>
            <w:r>
              <w:rPr>
                <w:rFonts w:ascii="Times New Roman" w:hAnsi="Times New Roman"/>
              </w:rPr>
              <w:t>指标4研判任务：事件目标属性研判——展示事件类型、等级、突发标记、位置、日期等属性</w:t>
            </w:r>
          </w:p>
        </w:tc>
      </w:tr>
      <w:tr>
        <w:tc>
          <w:tcPr>
            <w:tcW w:type="dxa" w:w="2768"/>
            <w:gridSpan w:val="2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>前提和约束</w:t>
            </w:r>
          </w:p>
        </w:tc>
        <w:tc>
          <w:tcPr>
            <w:tcW w:type="dxa" w:w="5536"/>
            <w:gridSpan w:val="4"/>
          </w:tcPr>
          <w:p>
            <w:r>
              <w:rPr>
                <w:rFonts w:ascii="Times New Roman" w:hAnsi="Times New Roman"/>
              </w:rPr>
              <w:t>船舶航迹可视化与事件分析系统正常运行，事件数据已加载（地图上可见事件聚类圆/事件点）</w:t>
            </w:r>
          </w:p>
        </w:tc>
      </w:tr>
      <w:tr>
        <w:tc>
          <w:tcPr>
            <w:tcW w:type="dxa" w:w="2768"/>
            <w:gridSpan w:val="2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>测试终止条件</w:t>
            </w:r>
          </w:p>
        </w:tc>
        <w:tc>
          <w:tcPr>
            <w:tcW w:type="dxa" w:w="5536"/>
            <w:gridSpan w:val="4"/>
          </w:tcPr>
          <w:p>
            <w:r>
              <w:rPr>
                <w:rFonts w:ascii="Times New Roman" w:hAnsi="Times New Roman"/>
              </w:rPr>
              <w:t>所有测试步骤执行完毕而终止，或因软件运行错误终止</w:t>
            </w:r>
          </w:p>
        </w:tc>
      </w:tr>
      <w:tr>
        <w:tc>
          <w:tcPr>
            <w:tcW w:type="dxa" w:w="8304"/>
            <w:gridSpan w:val="6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>测试过程</w:t>
            </w:r>
          </w:p>
        </w:tc>
      </w:tr>
      <w:tr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序号</w:t>
            </w:r>
          </w:p>
        </w:tc>
        <w:tc>
          <w:tcPr>
            <w:tcW w:type="dxa" w:w="2768"/>
            <w:gridSpan w:val="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输入及操作步骤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期望测试结果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评估准则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符合性判定</w:t>
              <w:br/>
              <w:t>（√或×或测试结果）</w:t>
            </w:r>
          </w:p>
        </w:tc>
      </w:tr>
      <w:tr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type="dxa" w:w="2768"/>
            <w:gridSpan w:val="2"/>
          </w:tcPr>
          <w:p>
            <w:r>
              <w:rPr>
                <w:rFonts w:ascii="Times New Roman" w:hAnsi="Times New Roman"/>
              </w:rPr>
              <w:t>打开系统页面，确认地图上可见事件聚类圆（带数字的彩色圆圈）</w:t>
            </w:r>
          </w:p>
        </w:tc>
        <w:tc>
          <w:tcPr>
            <w:tcW w:type="dxa" w:w="1384"/>
          </w:tcPr>
          <w:p>
            <w:r>
              <w:rPr>
                <w:rFonts w:ascii="Times New Roman" w:hAnsi="Times New Roman"/>
              </w:rPr>
              <w:t>聚类圆可见，数字代表该位置聚合的事件数量，三个区域（香港/伊朗/乌克兰）均有分布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事件数据加载成功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type="dxa" w:w="2768"/>
            <w:gridSpan w:val="2"/>
          </w:tcPr>
          <w:p>
            <w:r>
              <w:rPr>
                <w:rFonts w:ascii="Times New Roman" w:hAnsi="Times New Roman"/>
              </w:rPr>
              <w:t>点击一个事件聚类圆，在弹出的列表中观察每个事件行的信息</w:t>
            </w:r>
          </w:p>
        </w:tc>
        <w:tc>
          <w:tcPr>
            <w:tcW w:type="dxa" w:w="1384"/>
          </w:tcPr>
          <w:p>
            <w:r>
              <w:rPr>
                <w:rFonts w:ascii="Times New Roman" w:hAnsi="Times New Roman"/>
              </w:rPr>
              <w:t>每行显示区域标识、事件类型标签（抗议/冲突/军事活动/其他）、日期、突发标记、等级标签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属性标签齐全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type="dxa" w:w="2768"/>
            <w:gridSpan w:val="2"/>
          </w:tcPr>
          <w:p>
            <w:r>
              <w:rPr>
                <w:rFonts w:ascii="Times New Roman" w:hAnsi="Times New Roman"/>
              </w:rPr>
              <w:t>点击列表中第一条事件，进入深度分析面板</w:t>
            </w:r>
          </w:p>
        </w:tc>
        <w:tc>
          <w:tcPr>
            <w:tcW w:type="dxa" w:w="1384"/>
          </w:tcPr>
          <w:p>
            <w:r>
              <w:rPr>
                <w:rFonts w:ascii="Times New Roman" w:hAnsi="Times New Roman"/>
              </w:rPr>
              <w:t>面板顶部显示醒目的类型卡片（含图标+类型名称），下方展示等级标签、突发标记、位置信息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属性展示完整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type="dxa" w:w="2768"/>
            <w:gridSpan w:val="2"/>
          </w:tcPr>
          <w:p>
            <w:r>
              <w:rPr>
                <w:rFonts w:ascii="Times New Roman" w:hAnsi="Times New Roman"/>
              </w:rPr>
              <w:t>观察分析面板中的事件摘要和关键词</w:t>
            </w:r>
          </w:p>
        </w:tc>
        <w:tc>
          <w:tcPr>
            <w:tcW w:type="dxa" w:w="1384"/>
          </w:tcPr>
          <w:p>
            <w:r>
              <w:rPr>
                <w:rFonts w:ascii="Times New Roman" w:hAnsi="Times New Roman"/>
              </w:rPr>
              <w:t>摘要完整显示事件描述，关键词以条形图和词云形式展示权重分布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摘要+关键词可见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type="dxa" w:w="2768"/>
            <w:gridSpan w:val="2"/>
          </w:tcPr>
          <w:p>
            <w:r>
              <w:rPr>
                <w:rFonts w:ascii="Times New Roman" w:hAnsi="Times New Roman"/>
              </w:rPr>
              <w:t>按ESC关闭面板，点击不同区域的事件聚类圆（如从香港切换到乌克兰）</w:t>
            </w:r>
          </w:p>
        </w:tc>
        <w:tc>
          <w:tcPr>
            <w:tcW w:type="dxa" w:w="1384"/>
          </w:tcPr>
          <w:p>
            <w:r>
              <w:rPr>
                <w:rFonts w:ascii="Times New Roman" w:hAnsi="Times New Roman"/>
              </w:rPr>
              <w:t>不同区域事件属性有差异（类型、关键词分布不同），面板正确更新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区域切换正常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type="dxa" w:w="2768"/>
            <w:gridSpan w:val="2"/>
          </w:tcPr>
          <w:p>
            <w:r>
              <w:rPr>
                <w:rFonts w:ascii="Times New Roman" w:hAnsi="Times New Roman"/>
              </w:rPr>
              <w:t>分别记录3个不同事件的事件类型和等级</w:t>
            </w:r>
          </w:p>
        </w:tc>
        <w:tc>
          <w:tcPr>
            <w:tcW w:type="dxa" w:w="1384"/>
          </w:tcPr>
          <w:p>
            <w:r>
              <w:rPr>
                <w:rFonts w:ascii="Times New Roman" w:hAnsi="Times New Roman"/>
              </w:rPr>
              <w:t>至少2个事件的事件类型不同（不全是同一类型），等级标签与事件严重程度匹配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类型有区分度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2768"/>
            <w:gridSpan w:val="2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>测试结论</w:t>
            </w:r>
          </w:p>
        </w:tc>
        <w:tc>
          <w:tcPr>
            <w:tcW w:type="dxa" w:w="5536"/>
            <w:gridSpan w:val="4"/>
          </w:tcPr>
          <w:p>
            <w:r>
              <w:rPr>
                <w:rFonts w:ascii="Times New Roman" w:hAnsi="Times New Roman"/>
              </w:rPr>
              <w:t xml:space="preserve">  □ 通过      □ 未通过     □ 未测试</w:t>
            </w:r>
          </w:p>
        </w:tc>
      </w:tr>
      <w:tr>
        <w:tc>
          <w:tcPr>
            <w:tcW w:type="dxa" w:w="2768"/>
            <w:gridSpan w:val="2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>操作人员</w:t>
            </w:r>
          </w:p>
        </w:tc>
        <w:tc>
          <w:tcPr>
            <w:tcW w:type="dxa" w:w="5536"/>
            <w:gridSpan w:val="4"/>
          </w:tcPr>
          <w:p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2768"/>
            <w:gridSpan w:val="2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>测试时间</w:t>
            </w:r>
          </w:p>
        </w:tc>
        <w:tc>
          <w:tcPr>
            <w:tcW w:type="dxa" w:w="5536"/>
            <w:gridSpan w:val="4"/>
          </w:tcPr>
          <w:p>
            <w:r>
              <w:rPr>
                <w:rFonts w:ascii="Times New Roman" w:hAnsi="Times New Roman"/>
              </w:rPr>
            </w:r>
          </w:p>
        </w:tc>
      </w:tr>
    </w:tbl>
    <w:p/>
    <w:p>
      <w:pPr>
        <w:jc w:val="both"/>
      </w:pPr>
      <w:r>
        <w:rPr>
          <w:rFonts w:ascii="Times New Roman" w:hAnsi="Times New Roman"/>
          <w:b/>
          <w:sz w:val="28"/>
        </w:rPr>
        <w:t>5.1.12 功能测试</w:t>
      </w:r>
    </w:p>
    <w:p>
      <w:pPr>
        <w:jc w:val="both"/>
      </w:pPr>
      <w:r>
        <w:rPr>
          <w:rFonts w:ascii="Times New Roman" w:hAnsi="Times New Roman"/>
          <w:b/>
          <w:sz w:val="28"/>
        </w:rPr>
        <w:t>基于时空事件数据的事件目标行为研判功能测试（GN-016）</w:t>
      </w:r>
    </w:p>
    <w:p>
      <w:pPr>
        <w:jc w:val="center"/>
      </w:pPr>
      <w:r>
        <w:rPr>
          <w:rFonts w:ascii="Times New Roman" w:hAnsi="Times New Roman"/>
          <w:sz w:val="24"/>
        </w:rPr>
        <w:t>表5-12 GN-016测试用例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2768"/>
            <w:gridSpan w:val="2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>测试用例名称</w:t>
            </w:r>
          </w:p>
        </w:tc>
        <w:tc>
          <w:tcPr>
            <w:tcW w:type="dxa" w:w="5536"/>
            <w:gridSpan w:val="4"/>
          </w:tcPr>
          <w:p>
            <w:r>
              <w:rPr>
                <w:rFonts w:ascii="Times New Roman" w:hAnsi="Times New Roman"/>
              </w:rPr>
              <w:t>基于时空事件数据的事件目标行为研判功能测试</w:t>
            </w:r>
          </w:p>
        </w:tc>
      </w:tr>
      <w:tr>
        <w:tc>
          <w:tcPr>
            <w:tcW w:type="dxa" w:w="2768"/>
            <w:gridSpan w:val="2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>测试用例标识</w:t>
            </w:r>
          </w:p>
        </w:tc>
        <w:tc>
          <w:tcPr>
            <w:tcW w:type="dxa" w:w="5536"/>
            <w:gridSpan w:val="4"/>
          </w:tcPr>
          <w:p>
            <w:r>
              <w:rPr>
                <w:rFonts w:ascii="Times New Roman" w:hAnsi="Times New Roman"/>
              </w:rPr>
              <w:t>GN-016</w:t>
            </w:r>
          </w:p>
        </w:tc>
      </w:tr>
      <w:tr>
        <w:tc>
          <w:tcPr>
            <w:tcW w:type="dxa" w:w="2768"/>
            <w:gridSpan w:val="2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>测试用例描述</w:t>
            </w:r>
          </w:p>
        </w:tc>
        <w:tc>
          <w:tcPr>
            <w:tcW w:type="dxa" w:w="5536"/>
            <w:gridSpan w:val="4"/>
          </w:tcPr>
          <w:p>
            <w:r>
              <w:rPr>
                <w:rFonts w:ascii="Times New Roman" w:hAnsi="Times New Roman"/>
              </w:rPr>
              <w:t>本测试用例验证系统对时空事件行为模式的研判能力，包括事件的时间因果链分析（事件间的有向因果关系）、事件聚类空间分布、同区域事件的时序关联。验收人通过因果链tab和聚类交互，验证系统对事件行为模式的识别和展示能力</w:t>
            </w:r>
          </w:p>
        </w:tc>
      </w:tr>
      <w:tr>
        <w:tc>
          <w:tcPr>
            <w:tcW w:type="dxa" w:w="2768"/>
            <w:gridSpan w:val="2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>涉及的指标</w:t>
            </w:r>
          </w:p>
        </w:tc>
        <w:tc>
          <w:tcPr>
            <w:tcW w:type="dxa" w:w="5536"/>
            <w:gridSpan w:val="4"/>
          </w:tcPr>
          <w:p>
            <w:r>
              <w:rPr>
                <w:rFonts w:ascii="Times New Roman" w:hAnsi="Times New Roman"/>
              </w:rPr>
              <w:t>指标4研判任务：事件目标行为研判——通过因果链展示事件间的有向因果关系（前置事件→当前事件→结果事件），支持1对1/1对多/多对1/多对多模式</w:t>
            </w:r>
          </w:p>
        </w:tc>
      </w:tr>
      <w:tr>
        <w:tc>
          <w:tcPr>
            <w:tcW w:type="dxa" w:w="2768"/>
            <w:gridSpan w:val="2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>前提和约束</w:t>
            </w:r>
          </w:p>
        </w:tc>
        <w:tc>
          <w:tcPr>
            <w:tcW w:type="dxa" w:w="5536"/>
            <w:gridSpan w:val="4"/>
          </w:tcPr>
          <w:p>
            <w:r>
              <w:rPr>
                <w:rFonts w:ascii="Times New Roman" w:hAnsi="Times New Roman"/>
              </w:rPr>
              <w:t>船舶航迹可视化与事件分析系统正常运行，事件数据已加载</w:t>
            </w:r>
          </w:p>
        </w:tc>
      </w:tr>
      <w:tr>
        <w:tc>
          <w:tcPr>
            <w:tcW w:type="dxa" w:w="2768"/>
            <w:gridSpan w:val="2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>测试终止条件</w:t>
            </w:r>
          </w:p>
        </w:tc>
        <w:tc>
          <w:tcPr>
            <w:tcW w:type="dxa" w:w="5536"/>
            <w:gridSpan w:val="4"/>
          </w:tcPr>
          <w:p>
            <w:r>
              <w:rPr>
                <w:rFonts w:ascii="Times New Roman" w:hAnsi="Times New Roman"/>
              </w:rPr>
              <w:t>所有测试步骤执行完毕而终止，或因软件运行错误终止</w:t>
            </w:r>
          </w:p>
        </w:tc>
      </w:tr>
      <w:tr>
        <w:tc>
          <w:tcPr>
            <w:tcW w:type="dxa" w:w="8304"/>
            <w:gridSpan w:val="6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>测试过程</w:t>
            </w:r>
          </w:p>
        </w:tc>
      </w:tr>
      <w:tr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序号</w:t>
            </w:r>
          </w:p>
        </w:tc>
        <w:tc>
          <w:tcPr>
            <w:tcW w:type="dxa" w:w="2768"/>
            <w:gridSpan w:val="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输入及操作步骤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期望测试结果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评估准则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符合性判定</w:t>
              <w:br/>
              <w:t>（√或×或测试结果）</w:t>
            </w:r>
          </w:p>
        </w:tc>
      </w:tr>
      <w:tr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type="dxa" w:w="2768"/>
            <w:gridSpan w:val="2"/>
          </w:tcPr>
          <w:p>
            <w:r>
              <w:rPr>
                <w:rFonts w:ascii="Times New Roman" w:hAnsi="Times New Roman"/>
              </w:rPr>
              <w:t>点击事件点打开深度分析面板，切换到"因果链"tab</w:t>
            </w:r>
          </w:p>
        </w:tc>
        <w:tc>
          <w:tcPr>
            <w:tcW w:type="dxa" w:w="1384"/>
          </w:tcPr>
          <w:p>
            <w:r>
              <w:rPr>
                <w:rFonts w:ascii="Times New Roman" w:hAnsi="Times New Roman"/>
              </w:rPr>
              <w:t>面板切换为因果链视图，显示"引发当前事件的前置事件"折叠按钮和"当前事件可能引发的结果事件"折叠按钮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因果链tab正常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type="dxa" w:w="2768"/>
            <w:gridSpan w:val="2"/>
          </w:tcPr>
          <w:p>
            <w:r>
              <w:rPr>
                <w:rFonts w:ascii="Times New Roman" w:hAnsi="Times New Roman"/>
              </w:rPr>
              <w:t>点击"引发当前事件的前置事件"按钮展开列表</w:t>
            </w:r>
          </w:p>
        </w:tc>
        <w:tc>
          <w:tcPr>
            <w:tcW w:type="dxa" w:w="1384"/>
          </w:tcPr>
          <w:p>
            <w:r>
              <w:rPr>
                <w:rFonts w:ascii="Times New Roman" w:hAnsi="Times New Roman"/>
              </w:rPr>
              <w:t>展示与当前事件有强因果关联的前置事件列表，每个事件显示日期、类型标签、摘要和共享关键词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前置事件有向展示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type="dxa" w:w="2768"/>
            <w:gridSpan w:val="2"/>
          </w:tcPr>
          <w:p>
            <w:r>
              <w:rPr>
                <w:rFonts w:ascii="Times New Roman" w:hAnsi="Times New Roman"/>
              </w:rPr>
              <w:t>点击"当前事件可能引发的结果事件"按钮展开列表</w:t>
            </w:r>
          </w:p>
        </w:tc>
        <w:tc>
          <w:tcPr>
            <w:tcW w:type="dxa" w:w="1384"/>
          </w:tcPr>
          <w:p>
            <w:r>
              <w:rPr>
                <w:rFonts w:ascii="Times New Roman" w:hAnsi="Times New Roman"/>
              </w:rPr>
              <w:t>展示当前事件可能引发的后继事件列表，每个事件同样显示日期、类型标签、摘要和共享关键词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结果事件有向展示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type="dxa" w:w="2768"/>
            <w:gridSpan w:val="2"/>
          </w:tcPr>
          <w:p>
            <w:r>
              <w:rPr>
                <w:rFonts w:ascii="Times New Roman" w:hAnsi="Times New Roman"/>
              </w:rPr>
              <w:t>观察因果链中事件间的箭头方向（前置→当前/当前→结果）</w:t>
            </w:r>
          </w:p>
        </w:tc>
        <w:tc>
          <w:tcPr>
            <w:tcW w:type="dxa" w:w="1384"/>
          </w:tcPr>
          <w:p>
            <w:r>
              <w:rPr>
                <w:rFonts w:ascii="Times New Roman" w:hAnsi="Times New Roman"/>
              </w:rPr>
              <w:t>箭头明确指示因果方向：前置事件指向当前，当前事件指向结果，非双向混淆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方向明确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type="dxa" w:w="2768"/>
            <w:gridSpan w:val="2"/>
          </w:tcPr>
          <w:p>
            <w:r>
              <w:rPr>
                <w:rFonts w:ascii="Times New Roman" w:hAnsi="Times New Roman"/>
              </w:rPr>
              <w:t>选择关键词较多的热点事件查看因果链</w:t>
            </w:r>
          </w:p>
        </w:tc>
        <w:tc>
          <w:tcPr>
            <w:tcW w:type="dxa" w:w="1384"/>
          </w:tcPr>
          <w:p>
            <w:r>
              <w:rPr>
                <w:rFonts w:ascii="Times New Roman" w:hAnsi="Times New Roman"/>
              </w:rPr>
              <w:t>热点事件的因果关联数量多于冷门事件，体现了事件行为的传播特性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关联数量合理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type="dxa" w:w="2768"/>
            <w:gridSpan w:val="2"/>
          </w:tcPr>
          <w:p>
            <w:r>
              <w:rPr>
                <w:rFonts w:ascii="Times New Roman" w:hAnsi="Times New Roman"/>
              </w:rPr>
              <w:t>选择关键词较少的事件查看因果链</w:t>
            </w:r>
          </w:p>
        </w:tc>
        <w:tc>
          <w:tcPr>
            <w:tcW w:type="dxa" w:w="1384"/>
          </w:tcPr>
          <w:p>
            <w:r>
              <w:rPr>
                <w:rFonts w:ascii="Times New Roman" w:hAnsi="Times New Roman"/>
              </w:rPr>
              <w:t>显示"该事件暂无检测到的因果关联"，不崩溃不报错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空数据处理正常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2768"/>
            <w:gridSpan w:val="2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>测试结论</w:t>
            </w:r>
          </w:p>
        </w:tc>
        <w:tc>
          <w:tcPr>
            <w:tcW w:type="dxa" w:w="5536"/>
            <w:gridSpan w:val="4"/>
          </w:tcPr>
          <w:p>
            <w:r>
              <w:rPr>
                <w:rFonts w:ascii="Times New Roman" w:hAnsi="Times New Roman"/>
              </w:rPr>
              <w:t xml:space="preserve">  □ 通过      □ 未通过     □ 未测试</w:t>
            </w:r>
          </w:p>
        </w:tc>
      </w:tr>
      <w:tr>
        <w:tc>
          <w:tcPr>
            <w:tcW w:type="dxa" w:w="2768"/>
            <w:gridSpan w:val="2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>操作人员</w:t>
            </w:r>
          </w:p>
        </w:tc>
        <w:tc>
          <w:tcPr>
            <w:tcW w:type="dxa" w:w="5536"/>
            <w:gridSpan w:val="4"/>
          </w:tcPr>
          <w:p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2768"/>
            <w:gridSpan w:val="2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>测试时间</w:t>
            </w:r>
          </w:p>
        </w:tc>
        <w:tc>
          <w:tcPr>
            <w:tcW w:type="dxa" w:w="5536"/>
            <w:gridSpan w:val="4"/>
          </w:tcPr>
          <w:p>
            <w:r>
              <w:rPr>
                <w:rFonts w:ascii="Times New Roman" w:hAnsi="Times New Roman"/>
              </w:rPr>
            </w:r>
          </w:p>
        </w:tc>
      </w:tr>
    </w:tbl>
    <w:p/>
    <w:p>
      <w:pPr>
        <w:jc w:val="both"/>
      </w:pPr>
      <w:r>
        <w:rPr>
          <w:rFonts w:ascii="Times New Roman" w:hAnsi="Times New Roman"/>
          <w:b/>
          <w:sz w:val="28"/>
        </w:rPr>
        <w:t>5.1.13 功能测试</w:t>
      </w:r>
    </w:p>
    <w:p>
      <w:pPr>
        <w:jc w:val="both"/>
      </w:pPr>
      <w:r>
        <w:rPr>
          <w:rFonts w:ascii="Times New Roman" w:hAnsi="Times New Roman"/>
          <w:b/>
          <w:sz w:val="28"/>
        </w:rPr>
        <w:t>基于时空事件数据的事件目标意图识别研判功能测试（GN-017）</w:t>
      </w:r>
    </w:p>
    <w:p>
      <w:pPr>
        <w:jc w:val="center"/>
      </w:pPr>
      <w:r>
        <w:rPr>
          <w:rFonts w:ascii="Times New Roman" w:hAnsi="Times New Roman"/>
          <w:sz w:val="24"/>
        </w:rPr>
        <w:t>表5-13 GN-017测试用例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2768"/>
            <w:gridSpan w:val="2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>测试用例名称</w:t>
            </w:r>
          </w:p>
        </w:tc>
        <w:tc>
          <w:tcPr>
            <w:tcW w:type="dxa" w:w="5536"/>
            <w:gridSpan w:val="4"/>
          </w:tcPr>
          <w:p>
            <w:r>
              <w:rPr>
                <w:rFonts w:ascii="Times New Roman" w:hAnsi="Times New Roman"/>
              </w:rPr>
              <w:t>基于时空事件数据的事件目标意图识别研判功能测试</w:t>
            </w:r>
          </w:p>
        </w:tc>
      </w:tr>
      <w:tr>
        <w:tc>
          <w:tcPr>
            <w:tcW w:type="dxa" w:w="2768"/>
            <w:gridSpan w:val="2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>测试用例标识</w:t>
            </w:r>
          </w:p>
        </w:tc>
        <w:tc>
          <w:tcPr>
            <w:tcW w:type="dxa" w:w="5536"/>
            <w:gridSpan w:val="4"/>
          </w:tcPr>
          <w:p>
            <w:r>
              <w:rPr>
                <w:rFonts w:ascii="Times New Roman" w:hAnsi="Times New Roman"/>
              </w:rPr>
              <w:t>GN-017</w:t>
            </w:r>
          </w:p>
        </w:tc>
      </w:tr>
      <w:tr>
        <w:tc>
          <w:tcPr>
            <w:tcW w:type="dxa" w:w="2768"/>
            <w:gridSpan w:val="2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>测试用例描述</w:t>
            </w:r>
          </w:p>
        </w:tc>
        <w:tc>
          <w:tcPr>
            <w:tcW w:type="dxa" w:w="5536"/>
            <w:gridSpan w:val="4"/>
          </w:tcPr>
          <w:p>
            <w:r>
              <w:rPr>
                <w:rFonts w:ascii="Times New Roman" w:hAnsi="Times New Roman"/>
              </w:rPr>
              <w:t>本测试用例验证系统对事件意图和演化趋势的识别研判能力。通过因果链的有向关系推断事件的可能演化方向，结合事件类型分类和等级标签判断事件的发展态势，帮助分析人员识别事件的潜在意图和后续发展趋势</w:t>
            </w:r>
          </w:p>
        </w:tc>
      </w:tr>
      <w:tr>
        <w:tc>
          <w:tcPr>
            <w:tcW w:type="dxa" w:w="2768"/>
            <w:gridSpan w:val="2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>涉及的指标</w:t>
            </w:r>
          </w:p>
        </w:tc>
        <w:tc>
          <w:tcPr>
            <w:tcW w:type="dxa" w:w="5536"/>
            <w:gridSpan w:val="4"/>
          </w:tcPr>
          <w:p>
            <w:r>
              <w:rPr>
                <w:rFonts w:ascii="Times New Roman" w:hAnsi="Times New Roman"/>
              </w:rPr>
              <w:t>指标4研判任务：事件目标意图识别研判——通过因果链有向关系+事件类型+等级综合研判事件意图和演化趋势</w:t>
            </w:r>
          </w:p>
        </w:tc>
      </w:tr>
      <w:tr>
        <w:tc>
          <w:tcPr>
            <w:tcW w:type="dxa" w:w="2768"/>
            <w:gridSpan w:val="2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>前提和约束</w:t>
            </w:r>
          </w:p>
        </w:tc>
        <w:tc>
          <w:tcPr>
            <w:tcW w:type="dxa" w:w="5536"/>
            <w:gridSpan w:val="4"/>
          </w:tcPr>
          <w:p>
            <w:r>
              <w:rPr>
                <w:rFonts w:ascii="Times New Roman" w:hAnsi="Times New Roman"/>
              </w:rPr>
              <w:t>船舶航迹可视化与事件分析系统正常运行，事件数据已加载</w:t>
            </w:r>
          </w:p>
        </w:tc>
      </w:tr>
      <w:tr>
        <w:tc>
          <w:tcPr>
            <w:tcW w:type="dxa" w:w="2768"/>
            <w:gridSpan w:val="2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>测试终止条件</w:t>
            </w:r>
          </w:p>
        </w:tc>
        <w:tc>
          <w:tcPr>
            <w:tcW w:type="dxa" w:w="5536"/>
            <w:gridSpan w:val="4"/>
          </w:tcPr>
          <w:p>
            <w:r>
              <w:rPr>
                <w:rFonts w:ascii="Times New Roman" w:hAnsi="Times New Roman"/>
              </w:rPr>
              <w:t>所有测试步骤执行完毕而终止，或因软件运行错误终止</w:t>
            </w:r>
          </w:p>
        </w:tc>
      </w:tr>
      <w:tr>
        <w:tc>
          <w:tcPr>
            <w:tcW w:type="dxa" w:w="8304"/>
            <w:gridSpan w:val="6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>测试过程</w:t>
            </w:r>
          </w:p>
        </w:tc>
      </w:tr>
      <w:tr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序号</w:t>
            </w:r>
          </w:p>
        </w:tc>
        <w:tc>
          <w:tcPr>
            <w:tcW w:type="dxa" w:w="2768"/>
            <w:gridSpan w:val="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输入及操作步骤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期望测试结果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评估准则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符合性判定</w:t>
              <w:br/>
              <w:t>（√或×或测试结果）</w:t>
            </w:r>
          </w:p>
        </w:tc>
      </w:tr>
      <w:tr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type="dxa" w:w="2768"/>
            <w:gridSpan w:val="2"/>
          </w:tcPr>
          <w:p>
            <w:r>
              <w:rPr>
                <w:rFonts w:ascii="Times New Roman" w:hAnsi="Times New Roman"/>
              </w:rPr>
              <w:t>打开深度分析面板，查看"分析"tab中的事件类型、等级和摘要</w:t>
            </w:r>
          </w:p>
        </w:tc>
        <w:tc>
          <w:tcPr>
            <w:tcW w:type="dxa" w:w="1384"/>
          </w:tcPr>
          <w:p>
            <w:r>
              <w:rPr>
                <w:rFonts w:ascii="Times New Roman" w:hAnsi="Times New Roman"/>
              </w:rPr>
              <w:t>类型卡片醒目展示（如"冲突"或"抗议"），等级标签和突发标记并列显示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事件类型和等级明确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type="dxa" w:w="2768"/>
            <w:gridSpan w:val="2"/>
          </w:tcPr>
          <w:p>
            <w:r>
              <w:rPr>
                <w:rFonts w:ascii="Times New Roman" w:hAnsi="Times New Roman"/>
              </w:rPr>
              <w:t>切换到"因果链"tab，观察前置事件和结果事件的数量对比</w:t>
            </w:r>
          </w:p>
        </w:tc>
        <w:tc>
          <w:tcPr>
            <w:tcW w:type="dxa" w:w="1384"/>
          </w:tcPr>
          <w:p>
            <w:r>
              <w:rPr>
                <w:rFonts w:ascii="Times New Roman" w:hAnsi="Times New Roman"/>
              </w:rPr>
              <w:t>如果结果事件数量多于前置事件数量，说明该事件可能是"引爆点"；反之可能是"结果事件"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因果方向可研判意图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type="dxa" w:w="2768"/>
            <w:gridSpan w:val="2"/>
          </w:tcPr>
          <w:p>
            <w:r>
              <w:rPr>
                <w:rFonts w:ascii="Times New Roman" w:hAnsi="Times New Roman"/>
              </w:rPr>
              <w:t>观察因果链中前置事件的类型分布</w:t>
            </w:r>
          </w:p>
        </w:tc>
        <w:tc>
          <w:tcPr>
            <w:tcW w:type="dxa" w:w="1384"/>
          </w:tcPr>
          <w:p>
            <w:r>
              <w:rPr>
                <w:rFonts w:ascii="Times New Roman" w:hAnsi="Times New Roman"/>
              </w:rPr>
              <w:t>如果前置事件以"军事活动"为主、当前事件为"冲突"，可研判为军事部署导致冲突升级的意图链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类型链可辅助研判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type="dxa" w:w="2768"/>
            <w:gridSpan w:val="2"/>
          </w:tcPr>
          <w:p>
            <w:r>
              <w:rPr>
                <w:rFonts w:ascii="Times New Roman" w:hAnsi="Times New Roman"/>
              </w:rPr>
              <w:t>观察因果链中结果事件的类型分布</w:t>
            </w:r>
          </w:p>
        </w:tc>
        <w:tc>
          <w:tcPr>
            <w:tcW w:type="dxa" w:w="1384"/>
          </w:tcPr>
          <w:p>
            <w:r>
              <w:rPr>
                <w:rFonts w:ascii="Times New Roman" w:hAnsi="Times New Roman"/>
              </w:rPr>
              <w:t>如果结果事件中包含多个"冲突"类事件，可研判为当前事件可能引发连锁冲突的演化趋势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演化趋势可预测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type="dxa" w:w="2768"/>
            <w:gridSpan w:val="2"/>
          </w:tcPr>
          <w:p>
            <w:r>
              <w:rPr>
                <w:rFonts w:ascii="Times New Roman" w:hAnsi="Times New Roman"/>
              </w:rPr>
              <w:t>对比同一区域内不同事件在因果链中的位置（前置/当前/结果）</w:t>
            </w:r>
          </w:p>
        </w:tc>
        <w:tc>
          <w:tcPr>
            <w:tcW w:type="dxa" w:w="1384"/>
          </w:tcPr>
          <w:p>
            <w:r>
              <w:rPr>
                <w:rFonts w:ascii="Times New Roman" w:hAnsi="Times New Roman"/>
              </w:rPr>
              <w:t>不同事件在因果网络中扮演不同角色（起因/转折/结果），体现事件意图的多样性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角色定位有区分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type="dxa" w:w="2768"/>
            <w:gridSpan w:val="2"/>
          </w:tcPr>
          <w:p>
            <w:r>
              <w:rPr>
                <w:rFonts w:ascii="Times New Roman" w:hAnsi="Times New Roman"/>
              </w:rPr>
              <w:t>综合事件类型+等级+因果链方向，对某一事件写出研判结论</w:t>
            </w:r>
          </w:p>
        </w:tc>
        <w:tc>
          <w:tcPr>
            <w:tcW w:type="dxa" w:w="1384"/>
          </w:tcPr>
          <w:p>
            <w:r>
              <w:rPr>
                <w:rFonts w:ascii="Times New Roman" w:hAnsi="Times New Roman"/>
              </w:rPr>
              <w:t>验收人可根据系统提供的信息（类型+等级+因果方向+共享关键词）得出合理的事件意图研判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综合研判可行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2768"/>
            <w:gridSpan w:val="2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>测试结论</w:t>
            </w:r>
          </w:p>
        </w:tc>
        <w:tc>
          <w:tcPr>
            <w:tcW w:type="dxa" w:w="5536"/>
            <w:gridSpan w:val="4"/>
          </w:tcPr>
          <w:p>
            <w:r>
              <w:rPr>
                <w:rFonts w:ascii="Times New Roman" w:hAnsi="Times New Roman"/>
              </w:rPr>
              <w:t xml:space="preserve">  □ 通过      □ 未通过     □ 未测试</w:t>
            </w:r>
          </w:p>
        </w:tc>
      </w:tr>
      <w:tr>
        <w:tc>
          <w:tcPr>
            <w:tcW w:type="dxa" w:w="2768"/>
            <w:gridSpan w:val="2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>操作人员</w:t>
            </w:r>
          </w:p>
        </w:tc>
        <w:tc>
          <w:tcPr>
            <w:tcW w:type="dxa" w:w="5536"/>
            <w:gridSpan w:val="4"/>
          </w:tcPr>
          <w:p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2768"/>
            <w:gridSpan w:val="2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>测试时间</w:t>
            </w:r>
          </w:p>
        </w:tc>
        <w:tc>
          <w:tcPr>
            <w:tcW w:type="dxa" w:w="5536"/>
            <w:gridSpan w:val="4"/>
          </w:tcPr>
          <w:p>
            <w:r>
              <w:rPr>
                <w:rFonts w:ascii="Times New Roman" w:hAnsi="Times New Roman"/>
              </w:rPr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20EDA5"/>
    <w:multiLevelType w:val="multilevel"/>
    <w:tmpl w:val="E320EDA5"/>
    <w:lvl w:ilvl="0" w:tentative="0">
      <w:start w:val="5"/>
      <w:numFmt w:val="decimal"/>
      <w:lvlText w:val="%1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 w:tentative="0">
      <w:start w:val="1"/>
      <w:numFmt w:val="decimal"/>
      <w:lvlRestart w:val="1"/>
      <w:lvlText w:val="%1.%2.%3 "/>
      <w:lvlJc w:val="left"/>
      <w:pPr>
        <w:ind w:left="397" w:firstLine="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>
    <w:nsid w:val="12284582"/>
    <w:multiLevelType w:val="multilevel"/>
    <w:tmpl w:val="12284582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C5A5359"/>
    <w:multiLevelType w:val="multilevel"/>
    <w:tmpl w:val="1C5A5359"/>
    <w:lvl w:ilvl="0" w:tentative="0">
      <w:start w:val="1"/>
      <w:numFmt w:val="chineseCountingThousand"/>
      <w:pStyle w:val="2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81830EE"/>
    <w:multiLevelType w:val="multilevel"/>
    <w:tmpl w:val="681830EE"/>
    <w:lvl w:ilvl="0" w:tentative="0">
      <w:start w:val="1"/>
      <w:numFmt w:val="chineseCountingThousand"/>
      <w:pStyle w:val="6"/>
      <w:lvlText w:val="%1、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B677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ind w:left="0" w:firstLine="0"/>
      <w:outlineLvl w:val="0"/>
    </w:pPr>
    <w:rPr>
      <w:rFonts w:ascii="Times New Roman" w:hAnsi="Times New Roman" w:eastAsia="黑体" w:cs="Times New Roman"/>
      <w:b/>
      <w:bCs/>
      <w:kern w:val="44"/>
      <w:sz w:val="28"/>
      <w:szCs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ZF2"/>
    <w:basedOn w:val="6"/>
    <w:next w:val="7"/>
    <w:qFormat/>
    <w:uiPriority w:val="0"/>
    <w:pPr>
      <w:numPr>
        <w:numId w:val="0"/>
      </w:numPr>
      <w:ind w:firstLine="150" w:firstLineChars="150"/>
      <w:jc w:val="both"/>
      <w:outlineLvl w:val="1"/>
    </w:pPr>
    <w:rPr>
      <w:rFonts w:eastAsia="宋体"/>
      <w:bCs/>
    </w:rPr>
  </w:style>
  <w:style w:type="paragraph" w:customStyle="1" w:styleId="6">
    <w:name w:val="ZF1"/>
    <w:basedOn w:val="2"/>
    <w:next w:val="7"/>
    <w:qFormat/>
    <w:uiPriority w:val="0"/>
    <w:pPr>
      <w:numPr>
        <w:numId w:val="2"/>
      </w:numPr>
      <w:autoSpaceDE w:val="0"/>
      <w:autoSpaceDN w:val="0"/>
      <w:adjustRightInd w:val="0"/>
      <w:jc w:val="left"/>
    </w:pPr>
    <w:rPr>
      <w:bCs w:val="0"/>
      <w:color w:val="000000"/>
      <w:szCs w:val="28"/>
    </w:rPr>
  </w:style>
  <w:style w:type="paragraph" w:customStyle="1" w:styleId="7">
    <w:name w:val="ZF4"/>
    <w:basedOn w:val="1"/>
    <w:qFormat/>
    <w:uiPriority w:val="0"/>
    <w:pPr>
      <w:adjustRightInd w:val="0"/>
      <w:snapToGrid w:val="0"/>
      <w:spacing w:line="500" w:lineRule="atLeast"/>
      <w:ind w:firstLine="560" w:firstLineChars="200"/>
    </w:pPr>
    <w:rPr>
      <w:rFonts w:ascii="宋体" w:hAnsi="宋体"/>
      <w:color w:val="000000"/>
      <w:sz w:val="28"/>
      <w:szCs w:val="28"/>
    </w:rPr>
  </w:style>
  <w:style w:type="paragraph" w:customStyle="1" w:styleId="8">
    <w:name w:val="ZF3"/>
    <w:basedOn w:val="5"/>
    <w:next w:val="7"/>
    <w:qFormat/>
    <w:uiPriority w:val="0"/>
    <w:pPr>
      <w:outlineLvl w:val="2"/>
    </w:pPr>
    <w:rPr>
      <w:bCs w:val="0"/>
      <w:szCs w:val="24"/>
    </w:rPr>
  </w:style>
  <w:style w:type="paragraph" w:customStyle="1" w:styleId="9">
    <w:name w:val="ZFCap"/>
    <w:basedOn w:val="1"/>
    <w:qFormat/>
    <w:uiPriority w:val="0"/>
    <w:pPr>
      <w:spacing w:before="120" w:after="120"/>
      <w:jc w:val="center"/>
    </w:pPr>
    <w:rPr>
      <w:rFonts w:ascii="宋体" w:hAnsi="宋体" w:cs="Times New Roman"/>
      <w:sz w:val="24"/>
      <w:szCs w:val="24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2026-06-21T08:23:00Z</dcterms:created>
  <dc:creator>lhs</dc:creator>
  <cp:lastModifiedBy>刘小懒星</cp:lastModifiedBy>
  <dcterms:modified xsi:type="dcterms:W3CDTF">2026-06-21T08:23:09Z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eyJoZGlkIjoiMzkyZTJiYTA0MjZhNzhiOGEwNzliNGY2Yzc0MTkwOWYiLCJ1c2VySWQiOiI0NzYzNTg5MjEifQ==</vt:lpwstr>
  </property>
  <property fmtid="{D5CDD505-2E9C-101B-9397-08002B2CF9AE}" pid="4" name="ICV">
    <vt:lpwstr>C3B92DA1A49C4BB1854D597E0ADF3B21_12</vt:lpwstr>
  </property>
</Properties>
</file>