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40943">
      <w:pPr>
        <w:keepNext/>
        <w:keepLines/>
        <w:widowControl w:val="0"/>
        <w:numPr>
          <w:ilvl w:val="0"/>
          <w:numId w:val="0"/>
        </w:numPr>
        <w:autoSpaceDE w:val="0"/>
        <w:autoSpaceDN w:val="0"/>
        <w:adjustRightInd w:val="0"/>
        <w:ind w:left="0" w:firstLine="422" w:firstLineChars="150"/>
        <w:jc w:val="both"/>
        <w:outlineLvl w:val="1"/>
        <w:rPr>
          <w:rFonts w:ascii="Times New Roman" w:hAnsi="Times New Roman" w:eastAsia="宋体" w:cs="Times New Roman"/>
          <w:b/>
          <w:bCs/>
          <w:color w:val="auto"/>
          <w:kern w:val="44"/>
          <w:sz w:val="28"/>
          <w:szCs w:val="28"/>
          <w:lang w:val="en-US" w:eastAsia="zh-CN" w:bidi="ar-SA"/>
        </w:rPr>
      </w:pPr>
      <w:bookmarkStart w:id="0" w:name="_Toc169531154"/>
      <w:bookmarkStart w:id="1" w:name="_Toc8598"/>
      <w:r>
        <w:rPr>
          <w:rFonts w:ascii="Times New Roman" w:hAnsi="Times New Roman" w:eastAsia="宋体" w:cs="Times New Roman"/>
          <w:b/>
          <w:bCs/>
          <w:color w:val="auto"/>
          <w:kern w:val="44"/>
          <w:sz w:val="28"/>
          <w:szCs w:val="28"/>
          <w:lang w:val="en-US" w:eastAsia="zh-CN" w:bidi="ar-SA"/>
        </w:rPr>
        <w:t>5.1 功能测试</w:t>
      </w:r>
      <w:bookmarkEnd w:id="0"/>
      <w:bookmarkEnd w:id="1"/>
    </w:p>
    <w:p w14:paraId="0C7B126B">
      <w:pPr>
        <w:keepNext/>
        <w:keepLines/>
        <w:widowControl w:val="0"/>
        <w:numPr>
          <w:ilvl w:val="2"/>
          <w:numId w:val="3"/>
        </w:numPr>
        <w:autoSpaceDE w:val="0"/>
        <w:autoSpaceDN w:val="0"/>
        <w:adjustRightInd w:val="0"/>
        <w:ind w:left="397" w:firstLine="0" w:firstLineChars="0"/>
        <w:jc w:val="both"/>
        <w:outlineLvl w:val="2"/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</w:pPr>
      <w:bookmarkStart w:id="2" w:name="_Toc5835"/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begin"/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instrText xml:space="preserve"> REF 海空目标信息关联展现 \h  \* MERGEFORMAT </w:instrTex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separate"/>
      </w:r>
      <w:bookmarkStart w:id="3" w:name="_Toc175510187"/>
      <w:bookmarkStart w:id="4" w:name="_Toc169531155"/>
      <w:r>
        <w:rPr>
          <w:rFonts w:hint="eastAsia"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t>事件目标</w: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t>信息关联展现</w: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end"/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t>功能测试（</w: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begin"/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instrText xml:space="preserve"> REF GN001 \h  \* MERGEFORMAT </w:instrTex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separate"/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t>GN-001</w:t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fldChar w:fldCharType="end"/>
      </w:r>
      <w:r>
        <w:rPr>
          <w:rFonts w:ascii="Times New Roman" w:hAnsi="Times New Roman" w:eastAsia="宋体" w:cs="Times New Roman"/>
          <w:b/>
          <w:bCs w:val="0"/>
          <w:color w:val="auto"/>
          <w:kern w:val="44"/>
          <w:sz w:val="28"/>
          <w:szCs w:val="24"/>
          <w:lang w:val="en-US" w:eastAsia="zh-CN" w:bidi="ar-SA"/>
        </w:rPr>
        <w:t>）</w:t>
      </w:r>
      <w:bookmarkEnd w:id="2"/>
      <w:bookmarkEnd w:id="3"/>
      <w:bookmarkEnd w:id="4"/>
    </w:p>
    <w:p w14:paraId="0B79810C">
      <w:pPr>
        <w:widowControl w:val="0"/>
        <w:spacing w:before="120" w:after="120"/>
        <w:jc w:val="center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表5-1 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begin"/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instrText xml:space="preserve"> REF 海空目标信息关联展现 \h  \* MERGEFORMAT </w:instrTex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事件目标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信息关联展现</w:t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fldChar w:fldCharType="end"/>
      </w: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功能测试用例</w:t>
      </w:r>
    </w:p>
    <w:tbl>
      <w:tblPr>
        <w:tblStyle w:val="3"/>
        <w:tblW w:w="49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904"/>
        <w:gridCol w:w="1697"/>
        <w:gridCol w:w="2732"/>
        <w:gridCol w:w="1093"/>
        <w:gridCol w:w="1376"/>
      </w:tblGrid>
      <w:tr w14:paraId="4063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0020266A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测试用例名称</w:t>
            </w:r>
          </w:p>
        </w:tc>
        <w:tc>
          <w:tcPr>
            <w:tcW w:w="4095" w:type="pct"/>
            <w:gridSpan w:val="4"/>
            <w:vAlign w:val="center"/>
          </w:tcPr>
          <w:p w14:paraId="2B1EFFA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fldChar w:fldCharType="begin"/>
            </w:r>
            <w:r>
              <w:rPr>
                <w:rFonts w:ascii="Times New Roman" w:hAnsi="Times New Roman" w:cs="Times New Roman"/>
                <w:kern w:val="0"/>
                <w:szCs w:val="21"/>
              </w:rPr>
              <w:instrText xml:space="preserve"> REF 海空目标信息关联展现 \h  \* MERGEFORMAT </w:instrText>
            </w:r>
            <w:r>
              <w:rPr>
                <w:rFonts w:ascii="Times New Roman" w:hAnsi="Times New Roman" w:cs="Times New Roman"/>
                <w:kern w:val="0"/>
                <w:szCs w:val="21"/>
              </w:rPr>
              <w:fldChar w:fldCharType="separate"/>
            </w: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>事件目标</w:t>
            </w:r>
            <w:r>
              <w:rPr>
                <w:rFonts w:ascii="Times New Roman" w:hAnsi="Times New Roman" w:cs="Times New Roman"/>
                <w:szCs w:val="24"/>
              </w:rPr>
              <w:t>信息关联展现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fldChar w:fldCharType="end"/>
            </w:r>
            <w:r>
              <w:rPr>
                <w:rFonts w:ascii="Times New Roman" w:hAnsi="Times New Roman" w:cs="Times New Roman"/>
                <w:kern w:val="0"/>
                <w:szCs w:val="21"/>
              </w:rPr>
              <w:t>功能测试</w:t>
            </w:r>
          </w:p>
        </w:tc>
      </w:tr>
      <w:tr w14:paraId="749B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50A584CB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测试用例标识</w:t>
            </w:r>
          </w:p>
        </w:tc>
        <w:tc>
          <w:tcPr>
            <w:tcW w:w="4095" w:type="pct"/>
            <w:gridSpan w:val="4"/>
            <w:vAlign w:val="center"/>
          </w:tcPr>
          <w:p w14:paraId="5B670238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bookmarkStart w:id="5" w:name="GN001"/>
            <w:r>
              <w:rPr>
                <w:rFonts w:ascii="Times New Roman" w:hAnsi="Times New Roman" w:cs="Times New Roman"/>
                <w:szCs w:val="21"/>
              </w:rPr>
              <w:t>GN-001</w:t>
            </w:r>
            <w:bookmarkEnd w:id="5"/>
          </w:p>
        </w:tc>
      </w:tr>
      <w:tr w14:paraId="16D4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04D2F49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测试用例描述</w:t>
            </w:r>
          </w:p>
        </w:tc>
        <w:tc>
          <w:tcPr>
            <w:tcW w:w="4095" w:type="pct"/>
            <w:gridSpan w:val="4"/>
            <w:vAlign w:val="center"/>
          </w:tcPr>
          <w:p w14:paraId="76CC247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本测试用例以</w:t>
            </w:r>
            <w:r>
              <w:rPr>
                <w:rFonts w:ascii="Times New Roman" w:hAnsi="Times New Roman" w:eastAsia="宋体" w:cs="Times New Roman"/>
              </w:rPr>
              <w:t>典型场景事件数据集为基础，选取某</w:t>
            </w: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**</w:t>
            </w:r>
            <w:r>
              <w:rPr>
                <w:rFonts w:ascii="Times New Roman" w:hAnsi="Times New Roman" w:cs="Times New Roman"/>
                <w:szCs w:val="21"/>
              </w:rPr>
              <w:t>导弹试射</w:t>
            </w:r>
            <w:r>
              <w:rPr>
                <w:rFonts w:ascii="Times New Roman" w:hAnsi="Times New Roman" w:eastAsia="宋体" w:cs="Times New Roman"/>
              </w:rPr>
              <w:t>事件为测试数据，测试平台信息关联展现维度，支持不少于时间、空间、目标、标签、分类等5个维度</w:t>
            </w:r>
          </w:p>
        </w:tc>
      </w:tr>
      <w:tr w14:paraId="519F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400605D8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涉及的指标</w:t>
            </w:r>
          </w:p>
        </w:tc>
        <w:tc>
          <w:tcPr>
            <w:tcW w:w="4095" w:type="pct"/>
            <w:gridSpan w:val="4"/>
            <w:vAlign w:val="center"/>
          </w:tcPr>
          <w:p w14:paraId="3EAF0176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支持信息关联展现维度，支持不少于时间、空间、目标、标签、分类等5个维度</w:t>
            </w:r>
          </w:p>
        </w:tc>
      </w:tr>
      <w:tr w14:paraId="12FD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D7BCD04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前提和约束</w:t>
            </w:r>
          </w:p>
        </w:tc>
        <w:tc>
          <w:tcPr>
            <w:tcW w:w="4095" w:type="pct"/>
            <w:gridSpan w:val="4"/>
            <w:vAlign w:val="center"/>
          </w:tcPr>
          <w:p w14:paraId="2481E8B4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可信情报分析服务平台</w:t>
            </w:r>
            <w:r>
              <w:rPr>
                <w:rFonts w:ascii="Times New Roman" w:hAnsi="Times New Roman" w:cs="Times New Roman"/>
                <w:szCs w:val="21"/>
              </w:rPr>
              <w:t>正常运行且可以访问</w:t>
            </w:r>
          </w:p>
        </w:tc>
      </w:tr>
      <w:tr w14:paraId="3829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6AEF955D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测试终止条件</w:t>
            </w:r>
          </w:p>
        </w:tc>
        <w:tc>
          <w:tcPr>
            <w:tcW w:w="4095" w:type="pct"/>
            <w:gridSpan w:val="4"/>
            <w:vAlign w:val="center"/>
          </w:tcPr>
          <w:p w14:paraId="2E03EB0A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所有测试步骤执行完毕而终止，或因软件运行错误终止</w:t>
            </w:r>
          </w:p>
        </w:tc>
      </w:tr>
      <w:tr w14:paraId="2267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00" w:type="pct"/>
            <w:gridSpan w:val="6"/>
            <w:vAlign w:val="center"/>
          </w:tcPr>
          <w:p w14:paraId="3119A033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测试过程</w:t>
            </w:r>
          </w:p>
        </w:tc>
      </w:tr>
      <w:tr w14:paraId="7ADB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F184BA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序号</w:t>
            </w:r>
          </w:p>
        </w:tc>
        <w:tc>
          <w:tcPr>
            <w:tcW w:w="1544" w:type="pct"/>
            <w:gridSpan w:val="2"/>
            <w:vAlign w:val="center"/>
          </w:tcPr>
          <w:p w14:paraId="6DFF30AD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输入及操作步骤</w:t>
            </w:r>
          </w:p>
        </w:tc>
        <w:tc>
          <w:tcPr>
            <w:tcW w:w="1622" w:type="pct"/>
            <w:vAlign w:val="center"/>
          </w:tcPr>
          <w:p w14:paraId="78034E9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期望测试结果</w:t>
            </w:r>
          </w:p>
        </w:tc>
        <w:tc>
          <w:tcPr>
            <w:tcW w:w="649" w:type="pct"/>
            <w:vAlign w:val="center"/>
          </w:tcPr>
          <w:p w14:paraId="1E9B606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评估准则</w:t>
            </w:r>
          </w:p>
        </w:tc>
        <w:tc>
          <w:tcPr>
            <w:tcW w:w="817" w:type="pct"/>
            <w:vAlign w:val="center"/>
          </w:tcPr>
          <w:p w14:paraId="1E6A2414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szCs w:val="21"/>
              </w:rPr>
              <w:t>符合性判定（√或×或测试结果）</w:t>
            </w:r>
          </w:p>
        </w:tc>
      </w:tr>
      <w:tr w14:paraId="3C17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550DF32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4F48C4E6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打开可信情报分析服务平台，点击“情报知识图谱”导航栏按钮</w:t>
            </w:r>
          </w:p>
        </w:tc>
        <w:tc>
          <w:tcPr>
            <w:tcW w:w="1622" w:type="pct"/>
            <w:vAlign w:val="center"/>
          </w:tcPr>
          <w:p w14:paraId="09CCC6A8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进入知识图谱主界面</w:t>
            </w:r>
          </w:p>
        </w:tc>
        <w:tc>
          <w:tcPr>
            <w:tcW w:w="649" w:type="pct"/>
            <w:vMerge w:val="restart"/>
            <w:vAlign w:val="center"/>
          </w:tcPr>
          <w:p w14:paraId="052E013B">
            <w:pPr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Cs/>
                <w:kern w:val="0"/>
                <w:szCs w:val="21"/>
              </w:rPr>
              <w:t>与期望测试结果一致</w:t>
            </w:r>
          </w:p>
        </w:tc>
        <w:tc>
          <w:tcPr>
            <w:tcW w:w="817" w:type="pct"/>
            <w:vAlign w:val="center"/>
          </w:tcPr>
          <w:p w14:paraId="07D88CB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688A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6C96C2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556CB89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选取测试数据</w:t>
            </w:r>
            <w:r>
              <w:rPr>
                <w:rFonts w:hint="eastAsia" w:ascii="Times New Roman" w:hAnsi="Times New Roman" w:cs="Times New Roman"/>
                <w:szCs w:val="21"/>
              </w:rPr>
              <w:t>：</w:t>
            </w:r>
          </w:p>
          <w:p w14:paraId="47A56A9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在左侧实体列表栏搜索框中输入“2022-03-24”</w:t>
            </w:r>
          </w:p>
        </w:tc>
        <w:tc>
          <w:tcPr>
            <w:tcW w:w="1622" w:type="pct"/>
            <w:vAlign w:val="center"/>
          </w:tcPr>
          <w:p w14:paraId="443A44F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左侧实体列表栏出现搜索结果实体列表，应包括“2022-03-24 导弹试射事件”实体</w:t>
            </w:r>
          </w:p>
        </w:tc>
        <w:tc>
          <w:tcPr>
            <w:tcW w:w="649" w:type="pct"/>
            <w:vMerge w:val="continue"/>
            <w:vAlign w:val="center"/>
          </w:tcPr>
          <w:p w14:paraId="1AB46E20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41E1EEC7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6A3B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6D5419B6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7FFE335E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在左侧实体栏列表中，点击“2022-03-24 导弹试射事件”实体</w:t>
            </w:r>
          </w:p>
        </w:tc>
        <w:tc>
          <w:tcPr>
            <w:tcW w:w="1622" w:type="pct"/>
            <w:vAlign w:val="center"/>
          </w:tcPr>
          <w:p w14:paraId="3D521B5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右侧边栏出现实体详情列表</w:t>
            </w:r>
          </w:p>
        </w:tc>
        <w:tc>
          <w:tcPr>
            <w:tcW w:w="649" w:type="pct"/>
            <w:vMerge w:val="continue"/>
            <w:vAlign w:val="center"/>
          </w:tcPr>
          <w:p w14:paraId="1E7C0BA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</w:tcPr>
          <w:p w14:paraId="3F6B2A8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2B8A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1CCE493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620238D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在右侧边栏的实体名称下方查看实体时间信息</w:t>
            </w:r>
          </w:p>
        </w:tc>
        <w:tc>
          <w:tcPr>
            <w:tcW w:w="1622" w:type="pct"/>
            <w:vAlign w:val="center"/>
          </w:tcPr>
          <w:p w14:paraId="3915C2B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应查看到实体时间维度信息，如“时间：2022-03-24 05:34:00”</w:t>
            </w:r>
          </w:p>
        </w:tc>
        <w:tc>
          <w:tcPr>
            <w:tcW w:w="649" w:type="pct"/>
            <w:vMerge w:val="continue"/>
            <w:vAlign w:val="center"/>
          </w:tcPr>
          <w:p w14:paraId="271CA1A3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61B71B9C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4BBF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886DEF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535E0B29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在右侧边栏实体名称下方查看实体分类信息</w:t>
            </w:r>
          </w:p>
        </w:tc>
        <w:tc>
          <w:tcPr>
            <w:tcW w:w="1622" w:type="pct"/>
            <w:vAlign w:val="center"/>
          </w:tcPr>
          <w:p w14:paraId="5B5097C1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应查看到实体分类维度信息，如“导弹试射事件”</w:t>
            </w:r>
          </w:p>
        </w:tc>
        <w:tc>
          <w:tcPr>
            <w:tcW w:w="649" w:type="pct"/>
            <w:vMerge w:val="continue"/>
            <w:vAlign w:val="center"/>
          </w:tcPr>
          <w:p w14:paraId="66D9CE6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224C7BC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3AD0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14D18D0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4D0FAEA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在右侧边栏实体详情列表中查看实体空间信息</w:t>
            </w:r>
          </w:p>
        </w:tc>
        <w:tc>
          <w:tcPr>
            <w:tcW w:w="1622" w:type="pct"/>
            <w:vAlign w:val="center"/>
          </w:tcPr>
          <w:p w14:paraId="55660E93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应查看到实体空间维度信息，如经度、纬度、落点位置等</w:t>
            </w:r>
          </w:p>
        </w:tc>
        <w:tc>
          <w:tcPr>
            <w:tcW w:w="649" w:type="pct"/>
            <w:vMerge w:val="continue"/>
            <w:vAlign w:val="center"/>
          </w:tcPr>
          <w:p w14:paraId="34C4F2B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2A02C15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37E0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368" w:type="pct"/>
            <w:vAlign w:val="center"/>
          </w:tcPr>
          <w:p w14:paraId="42428BD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346C375A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在右侧边栏实体详情列表中查看实体标签信息</w:t>
            </w:r>
          </w:p>
        </w:tc>
        <w:tc>
          <w:tcPr>
            <w:tcW w:w="1622" w:type="pct"/>
            <w:vAlign w:val="center"/>
          </w:tcPr>
          <w:p w14:paraId="7F2909C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应查看到实体标签维度信息，如“#NK #ICBM”等</w:t>
            </w:r>
          </w:p>
        </w:tc>
        <w:tc>
          <w:tcPr>
            <w:tcW w:w="649" w:type="pct"/>
            <w:vMerge w:val="continue"/>
            <w:vAlign w:val="center"/>
          </w:tcPr>
          <w:p w14:paraId="066FCD54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2AABB772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6B30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D65BF6D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44" w:type="pct"/>
            <w:gridSpan w:val="2"/>
            <w:vAlign w:val="center"/>
          </w:tcPr>
          <w:p w14:paraId="27260C7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在右侧边栏点击“相关关系”按钮，查看实体关联目标信息</w:t>
            </w:r>
          </w:p>
        </w:tc>
        <w:tc>
          <w:tcPr>
            <w:tcW w:w="1622" w:type="pct"/>
            <w:vAlign w:val="center"/>
          </w:tcPr>
          <w:p w14:paraId="2C87269D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应查看到实体相关目标维度信息，如“涉及装备：R135”等</w:t>
            </w:r>
          </w:p>
        </w:tc>
        <w:tc>
          <w:tcPr>
            <w:tcW w:w="649" w:type="pct"/>
            <w:vMerge w:val="continue"/>
            <w:vAlign w:val="center"/>
          </w:tcPr>
          <w:p w14:paraId="5EA8053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  <w:tc>
          <w:tcPr>
            <w:tcW w:w="817" w:type="pct"/>
            <w:vAlign w:val="center"/>
          </w:tcPr>
          <w:p w14:paraId="1339E46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</w:p>
        </w:tc>
      </w:tr>
      <w:tr w14:paraId="4E86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31E5559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测试结论</w:t>
            </w:r>
          </w:p>
        </w:tc>
        <w:tc>
          <w:tcPr>
            <w:tcW w:w="4095" w:type="pct"/>
            <w:gridSpan w:val="4"/>
            <w:vAlign w:val="center"/>
          </w:tcPr>
          <w:p w14:paraId="5D8E62DA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  <w:bCs/>
              </w:rPr>
              <w:t>□ 通过      □ 未通过     □ 未测试</w:t>
            </w:r>
          </w:p>
        </w:tc>
      </w:tr>
      <w:tr w14:paraId="638D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70869F7E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操作人员</w:t>
            </w:r>
          </w:p>
        </w:tc>
        <w:tc>
          <w:tcPr>
            <w:tcW w:w="4095" w:type="pct"/>
            <w:gridSpan w:val="4"/>
            <w:vAlign w:val="center"/>
          </w:tcPr>
          <w:p w14:paraId="4AA35C9A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94F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7298EDB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测试时间</w:t>
            </w:r>
          </w:p>
        </w:tc>
        <w:tc>
          <w:tcPr>
            <w:tcW w:w="4095" w:type="pct"/>
            <w:gridSpan w:val="4"/>
            <w:vAlign w:val="center"/>
          </w:tcPr>
          <w:p w14:paraId="1B9F19BF">
            <w:pPr>
              <w:rPr>
                <w:rFonts w:ascii="Times New Roman" w:hAnsi="Times New Roman" w:cs="Times New Roman"/>
              </w:rPr>
            </w:pPr>
          </w:p>
        </w:tc>
      </w:tr>
    </w:tbl>
    <w:p w14:paraId="396A0583">
      <w:pPr>
        <w:rPr>
          <w:rFonts w:ascii="Times New Roman" w:hAnsi="Times New Roman" w:cs="Times New Roman"/>
        </w:rPr>
      </w:pPr>
    </w:p>
    <w:p w14:paraId="77022BA5">
      <w:bookmarkStart w:id="6" w:name="_GoBack"/>
      <w:bookmarkEnd w:id="6"/>
    </w:p>
    <w:p>
      <w:pPr>
        <w:jc w:val="both"/>
      </w:pPr>
      <w:r>
        <w:rPr>
          <w:rFonts w:ascii="Times New Roman" w:hAnsi="Times New Roman"/>
          <w:b/>
          <w:sz w:val="28"/>
        </w:rPr>
        <w:t>5.1.11 功能测试</w:t>
      </w:r>
    </w:p>
    <w:p>
      <w:pPr>
        <w:jc w:val="both"/>
      </w:pPr>
      <w:r>
        <w:rPr>
          <w:rFonts w:ascii="Times New Roman" w:hAnsi="Times New Roman"/>
          <w:b/>
          <w:sz w:val="28"/>
        </w:rPr>
        <w:t>基于时空事件数据的事件目标属性研判功能测试（GN-015）</w:t>
      </w:r>
    </w:p>
    <w:p>
      <w:pPr>
        <w:jc w:val="center"/>
      </w:pPr>
      <w:r>
        <w:rPr>
          <w:rFonts w:ascii="Times New Roman" w:hAnsi="Times New Roman"/>
          <w:sz w:val="24"/>
        </w:rPr>
        <w:t>表5-11 GN-015测试用例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测试用例名称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基于时空事件数据的事件目标属性研判功能测试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测试用例标识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GN-015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测试用例描述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本测试用例验证系统对时空事件数据的属性研判能力，包括事件类型分类（抗议/冲突/军事活动/其他）、事件等级（特别重大/重大/较大/一般）、突发标记识别、地理位置标注以及日期时序分析。验收人通过点击事件点进入分析面板，逐项确认事件属性信息的完整性和准确性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涉及的指标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指标4研判任务：事件目标属性研判——展示事件类型、等级、突发标记、位置、日期等属性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前提和约束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船舶航迹可视化与事件分析系统正常运行，事件数据已加载（地图上可见事件聚类圆/事件点）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测试终止条件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所有测试步骤执行完毕而终止，或因软件运行错误终止</w:t>
            </w:r>
          </w:p>
        </w:tc>
      </w:tr>
      <w:tr>
        <w:tc>
          <w:tcPr>
            <w:tcW w:type="dxa" w:w="8304"/>
            <w:gridSpan w:val="6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测试过程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序号</w:t>
            </w:r>
          </w:p>
        </w:tc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输入及操作步骤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期望测试结果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评估准则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符合性判定</w:t>
              <w:br/>
              <w:t>（√或×或测试结果）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打开系统页面，确认地图上可见事件聚类圆（带数字的彩色圆圈）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聚类圆可见，数字代表该位置聚合的事件数量，三个区域（香港/伊朗/乌克兰）均有分布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事件数据加载成功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点击一个事件聚类圆，在弹出的列表中观察每个事件行的信息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每行显示区域标识、事件类型标签（抗议/冲突/军事活动/其他）、日期、突发标记、等级标签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属性标签齐全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点击列表中第一条事件，进入深度分析面板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面板顶部显示醒目的类型卡片（含图标+类型名称），下方展示等级标签、突发标记、位置信息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属性展示完整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观察分析面板中的事件摘要和关键词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摘要完整显示事件描述，关键词以条形图和词云形式展示权重分布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摘要+关键词可见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按ESC关闭面板，点击不同区域的事件聚类圆（如从香港切换到乌克兰）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不同区域事件属性有差异（类型、关键词分布不同），面板正确更新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区域切换正常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分别记录3个不同事件的事件类型和等级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至少2个事件的事件类型不同（不全是同一类型），等级标签与事件严重程度匹配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类型有区分度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测试结论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 xml:space="preserve">  □ 通过      □ 未通过     □ 未测试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操作人员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测试时间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8"/>
        </w:rPr>
        <w:t>5.1.12 功能测试</w:t>
      </w:r>
    </w:p>
    <w:p>
      <w:pPr>
        <w:jc w:val="both"/>
      </w:pPr>
      <w:r>
        <w:rPr>
          <w:rFonts w:ascii="Times New Roman" w:hAnsi="Times New Roman"/>
          <w:b/>
          <w:sz w:val="28"/>
        </w:rPr>
        <w:t>基于时空事件数据的事件目标行为研判功能测试（GN-016）</w:t>
      </w:r>
    </w:p>
    <w:p>
      <w:pPr>
        <w:jc w:val="center"/>
      </w:pPr>
      <w:r>
        <w:rPr>
          <w:rFonts w:ascii="Times New Roman" w:hAnsi="Times New Roman"/>
          <w:sz w:val="24"/>
        </w:rPr>
        <w:t>表5-12 GN-016测试用例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测试用例名称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基于时空事件数据的事件目标行为研判功能测试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测试用例标识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GN-016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测试用例描述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本测试用例验证系统对时空事件行为模式的研判能力，包括事件的时间因果链分析（事件间的有向因果关系）、事件聚类空间分布、同区域事件的时序关联。验收人通过因果链tab和聚类交互，验证系统对事件行为模式的识别和展示能力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涉及的指标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指标4研判任务：事件目标行为研判——通过因果链展示事件间的有向因果关系（前置事件→当前事件→结果事件），支持1对1/1对多/多对1/多对多模式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前提和约束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船舶航迹可视化与事件分析系统正常运行，事件数据已加载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测试终止条件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所有测试步骤执行完毕而终止，或因软件运行错误终止</w:t>
            </w:r>
          </w:p>
        </w:tc>
      </w:tr>
      <w:tr>
        <w:tc>
          <w:tcPr>
            <w:tcW w:type="dxa" w:w="8304"/>
            <w:gridSpan w:val="6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测试过程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序号</w:t>
            </w:r>
          </w:p>
        </w:tc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输入及操作步骤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期望测试结果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评估准则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符合性判定</w:t>
              <w:br/>
              <w:t>（√或×或测试结果）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点击事件点打开深度分析面板，切换到"因果链"tab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面板切换为因果链视图，显示"引发当前事件的前置事件"折叠按钮和"当前事件可能引发的结果事件"折叠按钮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因果链tab正常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点击"引发当前事件的前置事件"按钮展开列表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展示与当前事件有强因果关联的前置事件列表，每个事件显示日期、类型标签、摘要和共享关键词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前置事件有向展示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点击"当前事件可能引发的结果事件"按钮展开列表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展示当前事件可能引发的后继事件列表，每个事件同样显示日期、类型标签、摘要和共享关键词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结果事件有向展示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观察因果链中事件间的箭头方向（前置→当前/当前→结果）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箭头明确指示因果方向：前置事件指向当前，当前事件指向结果，非双向混淆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方向明确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选择关键词较多的热点事件查看因果链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热点事件的因果关联数量多于冷门事件，体现了事件行为的传播特性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关联数量合理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选择关键词较少的事件查看因果链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显示"该事件暂无检测到的因果关联"，不崩溃不报错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空数据处理正常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测试结论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 xml:space="preserve">  □ 通过      □ 未通过     □ 未测试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操作人员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测试时间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8"/>
        </w:rPr>
        <w:t>5.1.13 功能测试</w:t>
      </w:r>
    </w:p>
    <w:p>
      <w:pPr>
        <w:jc w:val="both"/>
      </w:pPr>
      <w:r>
        <w:rPr>
          <w:rFonts w:ascii="Times New Roman" w:hAnsi="Times New Roman"/>
          <w:b/>
          <w:sz w:val="28"/>
        </w:rPr>
        <w:t>基于时空事件数据的事件目标意图识别研判功能测试（GN-017）</w:t>
      </w:r>
    </w:p>
    <w:p>
      <w:pPr>
        <w:jc w:val="center"/>
      </w:pPr>
      <w:r>
        <w:rPr>
          <w:rFonts w:ascii="Times New Roman" w:hAnsi="Times New Roman"/>
          <w:sz w:val="24"/>
        </w:rPr>
        <w:t>表5-13 GN-017测试用例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测试用例名称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基于时空事件数据的事件目标意图识别研判功能测试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测试用例标识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GN-017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测试用例描述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本测试用例验证系统对事件意图和演化趋势的识别研判能力。通过因果链的有向关系推断事件的可能演化方向，结合事件类型分类和等级标签判断事件的发展态势，帮助分析人员识别事件的潜在意图和后续发展趋势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涉及的指标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指标4研判任务：事件目标意图识别研判——通过因果链有向关系+事件类型+等级综合研判事件意图和演化趋势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前提和约束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船舶航迹可视化与事件分析系统正常运行，事件数据已加载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测试终止条件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所有测试步骤执行完毕而终止，或因软件运行错误终止</w:t>
            </w:r>
          </w:p>
        </w:tc>
      </w:tr>
      <w:tr>
        <w:tc>
          <w:tcPr>
            <w:tcW w:type="dxa" w:w="8304"/>
            <w:gridSpan w:val="6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测试过程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序号</w:t>
            </w:r>
          </w:p>
        </w:tc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输入及操作步骤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期望测试结果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评估准则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符合性判定</w:t>
              <w:br/>
              <w:t>（√或×或测试结果）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打开深度分析面板，查看"分析"tab中的事件类型、等级和摘要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类型卡片醒目展示（如"冲突"或"抗议"），等级标签和突发标记并列显示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事件类型和等级明确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切换到"因果链"tab，观察前置事件和结果事件的数量对比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如果结果事件数量多于前置事件数量，说明该事件可能是"引爆点"；反之可能是"结果事件"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因果方向可研判意图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观察因果链中前置事件的类型分布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如果前置事件以"军事活动"为主、当前事件为"冲突"，可研判为军事部署导致冲突升级的意图链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类型链可辅助研判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观察因果链中结果事件的类型分布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如果结果事件中包含多个"冲突"类事件，可研判为当前事件可能引发连锁冲突的演化趋势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演化趋势可预测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对比同一区域内不同事件在因果链中的位置（前置/当前/结果）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不同事件在因果网络中扮演不同角色（起因/转折/结果），体现事件意图的多样性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角色定位有区分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综合事件类型+等级+因果链方向，对某一事件写出研判结论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验收人可根据系统提供的信息（类型+等级+因果方向+共享关键词）得出合理的事件意图研判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综合研判可行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测试结论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 xml:space="preserve">  □ 通过      □ 未通过     □ 未测试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操作人员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测试时间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8"/>
        </w:rPr>
        <w:t>5.1.5 功能测试</w:t>
      </w:r>
    </w:p>
    <w:p>
      <w:pPr>
        <w:jc w:val="both"/>
      </w:pPr>
      <w:r>
        <w:rPr>
          <w:rFonts w:ascii="Times New Roman" w:hAnsi="Times New Roman"/>
          <w:b/>
          <w:sz w:val="28"/>
        </w:rPr>
        <w:t>事件目标属性研判功能测试（GN-005）</w:t>
      </w:r>
    </w:p>
    <w:p>
      <w:pPr>
        <w:jc w:val="center"/>
      </w:pPr>
      <w:r>
        <w:rPr>
          <w:rFonts w:ascii="Times New Roman" w:hAnsi="Times New Roman"/>
          <w:sz w:val="24"/>
        </w:rPr>
        <w:t>表5-5 GN-005测试用例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测试用例名称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事件目标属性研判功能测试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测试用例标识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GN-005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测试用例描述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本测试用例验证系统对事件目标的属性研判能力，覆盖事件的时间属性（日期）、空间属性（地理位置名称及经纬度坐标）、分类属性（事件类型：抗议/冲突/军事活动/其他）、等级属性（特别重大/重大/较大/一般）、状态属性（突发/非突发标记）以及描述属性（事件摘要和关键词分布）。验收人通过点击地图上的事件点和深度分析面板，逐项确认各属性是否完整展示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涉及的指标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指标4研判任务：事件目标属性研判——展示事件的时间、空间、类型、等级、突发状态、摘要等属性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前提和约束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船舶航迹可视化与事件分析系统正常运行，事件数据已加载（地图上可见事件聚类圆/事件点）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测试终止条件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>所有测试步骤执行完毕而终止，或因软件运行错误终止</w:t>
            </w:r>
          </w:p>
        </w:tc>
      </w:tr>
      <w:tr>
        <w:tc>
          <w:tcPr>
            <w:tcW w:type="dxa" w:w="8304"/>
            <w:gridSpan w:val="6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测试过程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序号</w:t>
            </w:r>
          </w:p>
        </w:tc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输入及操作步骤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期望测试结果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评估准则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符合性判定</w:t>
              <w:br/>
              <w:t>（√或×或测试结果）</w:t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打开系统页面，点击地图上一个事件聚类圆，在弹出的列表中观察每条事件行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每行显示：区域标识、事件类型标签（彩色）、日期、突发标记（⚡突发/非突发）、等级标签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6种属性均可见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点击列表中第一条事件，打开深度分析面板，观察面板顶部类型卡片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显示事件类型图标+名称（如💥冲突）、等级标签（颜色区分等级）、突发标记、位置名称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类型、等级、突发、位置4属性醒目展示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在分析面板中查看"事件摘要"和"关键词权重"区域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事件摘要完整展示描述文本（时间属性隐含在上下文中），关键词条形图展示各关键词权重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摘要+关键词属性完整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观察地图上该事件点的空间位置，确认与面板中"位置"字段一致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地图上事件点经纬度与面板显示的位置名称对应（如地图标记在kyiv，面板显示📍 kyiv）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空间属性一致性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按ESC关闭面板，点击不同区域的事件聚类圆（香港→伊朗→乌克兰），各选一条事件查看属性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不同区域事件的时间分布、类型倾向、关键词分布均有差异，属性面板正确刷新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跨区域属性可比对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2768"/>
            <w:gridSpan w:val="2"/>
          </w:tcPr>
          <w:p>
            <w:r>
              <w:rPr>
                <w:rFonts w:ascii="Times New Roman" w:hAnsi="Times New Roman"/>
              </w:rPr>
              <w:t>连续查看3条事件，记录各自的事件类型、等级、突发状态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</w:rPr>
              <w:t>3条事件中至少2条的类型或等级不同，体现出系统对事件属性的差异化研判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属性具有区分度</w:t>
            </w:r>
          </w:p>
        </w:tc>
        <w:tc>
          <w:tcPr>
            <w:tcW w:type="dxa" w:w="1384"/>
          </w:tcPr>
          <w:p>
            <w:pPr>
              <w:jc w:val="center"/>
            </w:pPr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测试结论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  <w:t xml:space="preserve">  □ 通过      □ 未通过     □ 未测试</w:t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操作人员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</w:r>
          </w:p>
        </w:tc>
      </w:tr>
      <w:tr>
        <w:tc>
          <w:tcPr>
            <w:tcW w:type="dxa" w:w="2768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b/>
              </w:rPr>
              <w:t>测试时间</w:t>
            </w:r>
          </w:p>
        </w:tc>
        <w:tc>
          <w:tcPr>
            <w:tcW w:type="dxa" w:w="5536"/>
            <w:gridSpan w:val="4"/>
          </w:tcPr>
          <w:p>
            <w:r>
              <w:rPr>
                <w:rFonts w:ascii="Times New Roman" w:hAnsi="Times New Roman"/>
              </w:rPr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20EDA5"/>
    <w:multiLevelType w:val="multilevel"/>
    <w:tmpl w:val="E320EDA5"/>
    <w:lvl w:ilvl="0" w:tentative="0">
      <w:start w:val="5"/>
      <w:numFmt w:val="decimal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 w:tentative="0">
      <w:start w:val="1"/>
      <w:numFmt w:val="decimal"/>
      <w:lvlRestart w:val="1"/>
      <w:lvlText w:val="%1.%2.%3 "/>
      <w:lvlJc w:val="left"/>
      <w:pPr>
        <w:ind w:left="397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12284582"/>
    <w:multiLevelType w:val="multilevel"/>
    <w:tmpl w:val="1228458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5A5359"/>
    <w:multiLevelType w:val="multilevel"/>
    <w:tmpl w:val="1C5A5359"/>
    <w:lvl w:ilvl="0" w:tentative="0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81830EE"/>
    <w:multiLevelType w:val="multilevel"/>
    <w:tmpl w:val="681830EE"/>
    <w:lvl w:ilvl="0" w:tentative="0">
      <w:start w:val="1"/>
      <w:numFmt w:val="chineseCountingThousand"/>
      <w:pStyle w:val="6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67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ind w:left="0" w:firstLine="0"/>
      <w:outlineLvl w:val="0"/>
    </w:pPr>
    <w:rPr>
      <w:rFonts w:ascii="Times New Roman" w:hAnsi="Times New Roman" w:eastAsia="黑体" w:cs="Times New Roman"/>
      <w:b/>
      <w:bCs/>
      <w:kern w:val="44"/>
      <w:sz w:val="28"/>
      <w:szCs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ZF2"/>
    <w:basedOn w:val="6"/>
    <w:next w:val="7"/>
    <w:qFormat/>
    <w:uiPriority w:val="0"/>
    <w:pPr>
      <w:numPr>
        <w:numId w:val="0"/>
      </w:numPr>
      <w:ind w:firstLine="150" w:firstLineChars="150"/>
      <w:jc w:val="both"/>
      <w:outlineLvl w:val="1"/>
    </w:pPr>
    <w:rPr>
      <w:rFonts w:eastAsia="宋体"/>
      <w:bCs/>
    </w:rPr>
  </w:style>
  <w:style w:type="paragraph" w:customStyle="1" w:styleId="6">
    <w:name w:val="ZF1"/>
    <w:basedOn w:val="2"/>
    <w:next w:val="7"/>
    <w:qFormat/>
    <w:uiPriority w:val="0"/>
    <w:pPr>
      <w:numPr>
        <w:numId w:val="2"/>
      </w:numPr>
      <w:autoSpaceDE w:val="0"/>
      <w:autoSpaceDN w:val="0"/>
      <w:adjustRightInd w:val="0"/>
      <w:jc w:val="left"/>
    </w:pPr>
    <w:rPr>
      <w:bCs w:val="0"/>
      <w:color w:val="000000"/>
      <w:szCs w:val="28"/>
    </w:rPr>
  </w:style>
  <w:style w:type="paragraph" w:customStyle="1" w:styleId="7">
    <w:name w:val="ZF4"/>
    <w:basedOn w:val="1"/>
    <w:qFormat/>
    <w:uiPriority w:val="0"/>
    <w:pPr>
      <w:adjustRightInd w:val="0"/>
      <w:snapToGrid w:val="0"/>
      <w:spacing w:line="500" w:lineRule="atLeast"/>
      <w:ind w:firstLine="560" w:firstLineChars="200"/>
    </w:pPr>
    <w:rPr>
      <w:rFonts w:ascii="宋体" w:hAnsi="宋体"/>
      <w:color w:val="000000"/>
      <w:sz w:val="28"/>
      <w:szCs w:val="28"/>
    </w:rPr>
  </w:style>
  <w:style w:type="paragraph" w:customStyle="1" w:styleId="8">
    <w:name w:val="ZF3"/>
    <w:basedOn w:val="5"/>
    <w:next w:val="7"/>
    <w:qFormat/>
    <w:uiPriority w:val="0"/>
    <w:pPr>
      <w:outlineLvl w:val="2"/>
    </w:pPr>
    <w:rPr>
      <w:bCs w:val="0"/>
      <w:szCs w:val="24"/>
    </w:rPr>
  </w:style>
  <w:style w:type="paragraph" w:customStyle="1" w:styleId="9">
    <w:name w:val="ZFCap"/>
    <w:basedOn w:val="1"/>
    <w:qFormat/>
    <w:uiPriority w:val="0"/>
    <w:pPr>
      <w:spacing w:before="120" w:after="120"/>
      <w:jc w:val="center"/>
    </w:pPr>
    <w:rPr>
      <w:rFonts w:ascii="宋体" w:hAnsi="宋体" w:cs="Times New Roman"/>
      <w:sz w:val="24"/>
      <w:szCs w:val="2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2026-06-21T08:23:00Z</dcterms:created>
  <dc:creator>lhs</dc:creator>
  <cp:lastModifiedBy>刘小懒星</cp:lastModifiedBy>
  <dcterms:modified xsi:type="dcterms:W3CDTF">2026-06-21T08:23:09Z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eyJoZGlkIjoiMzkyZTJiYTA0MjZhNzhiOGEwNzliNGY2Yzc0MTkwOWYiLCJ1c2VySWQiOiI0NzYzNTg5MjEifQ==</vt:lpwstr>
  </property>
  <property fmtid="{D5CDD505-2E9C-101B-9397-08002B2CF9AE}" pid="4" name="ICV">
    <vt:lpwstr>C3B92DA1A49C4BB1854D597E0ADF3B21_12</vt:lpwstr>
  </property>
</Properties>
</file>