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883" w:firstLineChars="200"/>
        <w:jc w:val="center"/>
        <w:rPr>
          <w:rFonts w:hint="eastAsia"/>
          <w:lang w:val="en-US" w:eastAsia="zh-CN"/>
        </w:rPr>
      </w:pPr>
      <w:r>
        <w:rPr>
          <w:rFonts w:hint="eastAsia"/>
          <w:lang w:val="en-US" w:eastAsia="zh-CN"/>
        </w:rPr>
        <w:t>后端项目发版流程</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发版前确认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测试确认测试完成并且bug已解决完毕。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产品验收完成，确认可以上线。</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新项目需提前通知运维在生产完成项目和数据库搭建以及生产域名配置。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如果需要前端项目同步发版，确认前端项目也已经完成发版前准备。</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数据库sql文件执行</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检查数据库脚本文件无误，通知DBA生产执行数据库脚本。（注意：不要遗漏对历史数据的刷新）--找组长确认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DBA通知脚本执行完，检查数据库，数据库sql脚本已经正确执行。</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代码合并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最后确认代码已经全部提交，生产环境配置准确后通知运维人员代码合并到master。</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代码合并完成后，拉取master代码检查是否合并成功。</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预发布环境发布master代码测试确认功能正常合并。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合并过程中如果有代码冲突，代码冲突的两人要协助运维完成代码合并。</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Jenkins发版</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通知组长生产环境发布代码。</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发版过程中关注发版进程，如遇项目发版失败立即检查失败原因，及时解决问题，紧急情况下可申请运维人员做版本回退，以免影响生产环境其他功能的正常使用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highlight w:val="none"/>
          <w:lang w:val="en-US" w:eastAsia="zh-CN"/>
        </w:rPr>
      </w:pPr>
      <w:r>
        <w:rPr>
          <w:rFonts w:hint="eastAsia"/>
          <w:highlight w:val="none"/>
          <w:lang w:val="en-US" w:eastAsia="zh-CN"/>
        </w:rPr>
        <w:t>注意：大版本更新日（每两周的周五）多部门共用的项目要注意等待所</w:t>
      </w:r>
      <w:r>
        <w:rPr>
          <w:rFonts w:hint="eastAsia"/>
          <w:highlight w:val="none"/>
          <w:lang w:val="en-US" w:eastAsia="zh-CN"/>
        </w:rPr>
        <w:tab/>
      </w:r>
      <w:r>
        <w:rPr>
          <w:rFonts w:hint="eastAsia"/>
          <w:highlight w:val="none"/>
          <w:lang w:val="en-US" w:eastAsia="zh-CN"/>
        </w:rPr>
        <w:tab/>
      </w:r>
      <w:bookmarkStart w:id="0" w:name="_GoBack"/>
      <w:bookmarkEnd w:id="0"/>
      <w:r>
        <w:rPr>
          <w:rFonts w:hint="eastAsia"/>
          <w:highlight w:val="none"/>
          <w:lang w:val="en-US" w:eastAsia="zh-CN"/>
        </w:rPr>
        <w:t>有sql脚本执行后再发版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330" w:firstLine="417" w:firstLineChars="0"/>
        <w:textAlignment w:val="auto"/>
        <w:rPr>
          <w:rFonts w:hint="default"/>
          <w:highlight w:val="none"/>
          <w:lang w:val="en-US" w:eastAsia="zh-CN"/>
        </w:rPr>
      </w:pP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发版完成后</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项目上线后立即组织测试对生产环境进行进行确认测试，确定本次发版是否成功，功能上线是否正常，对其他功能有无影响。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通知产品及相关运营人员功能发布完成，说明本次发版主要上线的功能以及涉及的功能模块，要求近期关注新上线功能的使用情况，有异常及时反馈处理。</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关注公司销售群，对销售群提出的功能相关问题及时响应，整理、协调相关人员及时解决生产问题，并记录生产事故表。</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完成项目上线记录表，提交到项目的svn仓库留档。</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注意事项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涉及公众号小程序等第三方开放平台的发版注意在发版前检查域名安全域名是否已经正确配置</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B593B"/>
    <w:multiLevelType w:val="multilevel"/>
    <w:tmpl w:val="E14B593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F6CFF92A"/>
    <w:multiLevelType w:val="multilevel"/>
    <w:tmpl w:val="F6CFF92A"/>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A8C4462"/>
    <w:rsid w:val="101A42BE"/>
    <w:rsid w:val="1A9923D9"/>
    <w:rsid w:val="24F005C9"/>
    <w:rsid w:val="25FA159E"/>
    <w:rsid w:val="2AAE40FA"/>
    <w:rsid w:val="2D285A80"/>
    <w:rsid w:val="3388612C"/>
    <w:rsid w:val="33E71952"/>
    <w:rsid w:val="360F6ED8"/>
    <w:rsid w:val="36AD1952"/>
    <w:rsid w:val="3B742225"/>
    <w:rsid w:val="400A1728"/>
    <w:rsid w:val="446043FE"/>
    <w:rsid w:val="464438B1"/>
    <w:rsid w:val="4980190A"/>
    <w:rsid w:val="51122D44"/>
    <w:rsid w:val="52CB0E41"/>
    <w:rsid w:val="532D74C7"/>
    <w:rsid w:val="55497091"/>
    <w:rsid w:val="68F47416"/>
    <w:rsid w:val="6F8A66FF"/>
    <w:rsid w:val="78BD69DE"/>
    <w:rsid w:val="7BC95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639</Words>
  <Characters>673</Characters>
  <Lines>0</Lines>
  <Paragraphs>0</Paragraphs>
  <TotalTime>0</TotalTime>
  <ScaleCrop>false</ScaleCrop>
  <LinksUpToDate>false</LinksUpToDate>
  <CharactersWithSpaces>673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2022-12-05T04:28:15Z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