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line="360" w:lineRule="auto" w:before="0" w:after="240"/>
        <w:ind w:firstLine="0" w:firstLineChars="0"/>
        <w:autoSpaceDE w:val="0"/>
        <w:autoSpaceDN w:val="0"/>
        <w:jc w:val="center"/>
      </w:pPr>
      <w:r>
        <w:rPr>
          <w:rFonts w:ascii="宋体" w:hAnsi="宋体" w:eastAsia="宋体" w:cs="宋体"/>
          <w:sz w:val="32"/>
          <w:szCs w:val="32"/>
          <w:color w:val="000000"/>
          <w:b w:val="1"/>
          <w:i w:val="0"/>
        </w:rPr>
        <w:t>缩略语和关键术语</w:t>
      </w:r>
    </w:p>
    <w:p>
      <w:pPr>
        <w:pStyle w:val="Heading1"/>
        <w:keepNext/>
        <w:widowControl/>
        <w:spacing w:line="360" w:lineRule="auto" w:before="240" w:after="120"/>
        <w:ind w:firstLine="0" w:firstLineChars="0"/>
        <w:autoSpaceDE w:val="0"/>
        <w:autoSpaceDN w:val="0"/>
      </w:pPr>
      <w:r>
        <w:rPr>
          <w:rFonts w:ascii="宋体" w:hAnsi="宋体" w:eastAsia="宋体" w:cs="宋体"/>
          <w:sz w:val="28"/>
          <w:szCs w:val="28"/>
          <w:color w:val="000000"/>
          <w:b w:val="1"/>
          <w:i w:val="0"/>
        </w:rPr>
        <w:t>缩略语表</w:t>
      </w:r>
    </w:p>
    <w:tbl>
      <w:tblPr>
        <w:tblStyle w:val="TableGrid"/>
        <w:tblW w:type="auto" w:w="0"/>
        <w:jc w:val="center"/>
        <w:tblLayout w:type="fixed"/>
        <w:tblLook w:firstColumn="1" w:firstRow="1" w:lastColumn="0" w:lastRow="0" w:noHBand="0" w:noVBand="1" w:val="04A0"/>
      </w:tblPr>
      <w:tblGrid>
        <w:gridCol w:w="2880"/>
        <w:gridCol w:w="4824"/>
        <w:gridCol w:w="1656"/>
      </w:tblGrid>
      <w:tr>
        <w:trPr>
          <w:cantSplit/>
          <w:tblHeader/>
        </w:trPr>
        <w:tc>
          <w:tcPr>
            <w:tcW w:type="dxa" w:w="2880"/>
            <w:vAlign w:val="center"/>
            <w:shd w:fill="F2F2F2"/>
          </w:tcPr>
          <w:p>
            <w:pPr>
              <w:widowControl/>
              <w:spacing w:line="360" w:lineRule="auto" w:before="60" w:after="60"/>
              <w:ind w:firstLine="0" w:firstLineChars="0"/>
              <w:autoSpaceDE w:val="0"/>
              <w:autoSpaceDN w:val="0"/>
            </w:pPr>
            <w:r>
              <w:rPr>
                <w:rFonts w:ascii="宋体" w:hAnsi="宋体" w:eastAsia="宋体" w:cs="宋体"/>
                <w:sz w:val="24"/>
                <w:szCs w:val="24"/>
                <w:color w:val="000000"/>
                <w:b w:val="1"/>
                <w:i w:val="0"/>
              </w:rPr>
              <w:t>中文表述/中文术语</w:t>
            </w:r>
          </w:p>
        </w:tc>
        <w:tc>
          <w:tcPr>
            <w:tcW w:type="dxa" w:w="4824"/>
            <w:vAlign w:val="center"/>
            <w:shd w:fill="F2F2F2"/>
          </w:tcPr>
          <w:p>
            <w:pPr>
              <w:widowControl/>
              <w:spacing w:line="360" w:lineRule="auto" w:before="60" w:after="60"/>
              <w:ind w:firstLine="0" w:firstLineChars="0"/>
              <w:autoSpaceDE w:val="0"/>
              <w:autoSpaceDN w:val="0"/>
            </w:pPr>
            <w:r>
              <w:rPr>
                <w:rFonts w:ascii="宋体" w:hAnsi="宋体" w:eastAsia="宋体" w:cs="宋体"/>
                <w:sz w:val="24"/>
                <w:szCs w:val="24"/>
                <w:color w:val="000000"/>
                <w:b w:val="1"/>
                <w:i w:val="0"/>
              </w:rPr>
              <w:t>完整英文表达/准确英文用语</w:t>
            </w:r>
          </w:p>
        </w:tc>
        <w:tc>
          <w:tcPr>
            <w:tcW w:type="dxa" w:w="1656"/>
            <w:vAlign w:val="center"/>
            <w:shd w:fill="F2F2F2"/>
          </w:tcPr>
          <w:p>
            <w:pPr>
              <w:widowControl/>
              <w:spacing w:line="360" w:lineRule="auto" w:before="60" w:after="60"/>
              <w:ind w:firstLine="0" w:firstLineChars="0"/>
              <w:autoSpaceDE w:val="0"/>
              <w:autoSpaceDN w:val="0"/>
            </w:pPr>
            <w:r>
              <w:rPr>
                <w:rFonts w:ascii="宋体" w:hAnsi="宋体" w:eastAsia="宋体" w:cs="宋体"/>
                <w:sz w:val="24"/>
                <w:szCs w:val="24"/>
                <w:color w:val="000000"/>
                <w:b w:val="1"/>
                <w:i w:val="0"/>
              </w:rPr>
              <w:t>英文缩略语</w:t>
            </w:r>
          </w:p>
        </w:tc>
      </w:tr>
      <w:tr>
        <w:trPr>
          <w:cantSplit/>
        </w:trPr>
        <w:tc>
          <w:tcPr>
            <w:tcW w:type="dxa" w:w="2880"/>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结构化查询语言</w:t>
            </w:r>
          </w:p>
        </w:tc>
        <w:tc>
          <w:tcPr>
            <w:tcW w:type="dxa" w:w="4824"/>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Structured Query Language</w:t>
            </w:r>
          </w:p>
        </w:tc>
        <w:tc>
          <w:tcPr>
            <w:tcW w:type="dxa" w:w="1656"/>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SQL</w:t>
            </w:r>
          </w:p>
        </w:tc>
      </w:tr>
      <w:tr>
        <w:trPr>
          <w:cantSplit/>
        </w:trPr>
        <w:tc>
          <w:tcPr>
            <w:tcW w:type="dxa" w:w="2880"/>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文件结束标志</w:t>
            </w:r>
          </w:p>
        </w:tc>
        <w:tc>
          <w:tcPr>
            <w:tcW w:type="dxa" w:w="4824"/>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End of File</w:t>
            </w:r>
          </w:p>
        </w:tc>
        <w:tc>
          <w:tcPr>
            <w:tcW w:type="dxa" w:w="1656"/>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EOF</w:t>
            </w:r>
          </w:p>
        </w:tc>
      </w:tr>
      <w:tr>
        <w:trPr>
          <w:cantSplit/>
        </w:trPr>
        <w:tc>
          <w:tcPr>
            <w:tcW w:type="dxa" w:w="2880"/>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数据库管理员</w:t>
            </w:r>
          </w:p>
        </w:tc>
        <w:tc>
          <w:tcPr>
            <w:tcW w:type="dxa" w:w="4824"/>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Database Administrator</w:t>
            </w:r>
          </w:p>
        </w:tc>
        <w:tc>
          <w:tcPr>
            <w:tcW w:type="dxa" w:w="1656"/>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DBA</w:t>
            </w:r>
          </w:p>
        </w:tc>
      </w:tr>
      <w:tr>
        <w:trPr>
          <w:cantSplit/>
        </w:trPr>
        <w:tc>
          <w:tcPr>
            <w:tcW w:type="dxa" w:w="2880"/>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标识符</w:t>
            </w:r>
          </w:p>
        </w:tc>
        <w:tc>
          <w:tcPr>
            <w:tcW w:type="dxa" w:w="4824"/>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Identifier</w:t>
            </w:r>
          </w:p>
        </w:tc>
        <w:tc>
          <w:tcPr>
            <w:tcW w:type="dxa" w:w="1656"/>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ID</w:t>
            </w:r>
          </w:p>
        </w:tc>
      </w:tr>
      <w:tr>
        <w:trPr>
          <w:cantSplit/>
        </w:trPr>
        <w:tc>
          <w:tcPr>
            <w:tcW w:type="dxa" w:w="2880"/>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学习型优化器</w:t>
            </w:r>
          </w:p>
        </w:tc>
        <w:tc>
          <w:tcPr>
            <w:tcW w:type="dxa" w:w="4824"/>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LEarning Optimizer</w:t>
            </w:r>
          </w:p>
        </w:tc>
        <w:tc>
          <w:tcPr>
            <w:tcW w:type="dxa" w:w="1656"/>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LEO</w:t>
            </w:r>
          </w:p>
        </w:tc>
      </w:tr>
      <w:tr>
        <w:trPr>
          <w:cantSplit/>
        </w:trPr>
        <w:tc>
          <w:tcPr>
            <w:tcW w:type="dxa" w:w="2880"/>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渐进式查询优化</w:t>
            </w:r>
          </w:p>
        </w:tc>
        <w:tc>
          <w:tcPr>
            <w:tcW w:type="dxa" w:w="4824"/>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Progressive Optimization</w:t>
            </w:r>
          </w:p>
        </w:tc>
        <w:tc>
          <w:tcPr>
            <w:tcW w:type="dxa" w:w="1656"/>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POP</w:t>
            </w:r>
          </w:p>
        </w:tc>
      </w:tr>
      <w:tr>
        <w:trPr>
          <w:cantSplit/>
        </w:trPr>
        <w:tc>
          <w:tcPr>
            <w:tcW w:type="dxa" w:w="2880"/>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连接顺序基准测试集</w:t>
            </w:r>
          </w:p>
        </w:tc>
        <w:tc>
          <w:tcPr>
            <w:tcW w:type="dxa" w:w="4824"/>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Join Order Benchmark</w:t>
            </w:r>
          </w:p>
        </w:tc>
        <w:tc>
          <w:tcPr>
            <w:tcW w:type="dxa" w:w="1656"/>
            <w:vAlign w:val="center"/>
          </w:tcPr>
          <w:p>
            <w:pPr>
              <w:widowControl/>
              <w:spacing w:line="360" w:lineRule="auto" w:before="60" w:after="60"/>
              <w:ind w:firstLine="0" w:firstLineChars="0"/>
              <w:autoSpaceDE w:val="0"/>
              <w:autoSpaceDN w:val="0"/>
            </w:pPr>
            <w:r>
              <w:rPr>
                <w:rFonts w:ascii="宋体" w:hAnsi="宋体" w:eastAsia="宋体" w:cs="宋体"/>
                <w:sz w:val="24"/>
                <w:szCs w:val="24"/>
                <w:color w:val="000000"/>
                <w:b w:val="0"/>
                <w:i w:val="0"/>
              </w:rPr>
              <w:t>JOB</w:t>
            </w:r>
          </w:p>
        </w:tc>
      </w:tr>
    </w:tbl>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本文中的EOF用于表示算子取数时读到数据流结束；节点ID指执行计划中的节点标识符。LEO和POP为现有相关技术中的名称。JOB-complex为本文实验采用的复杂查询测试集名称，本次实验包含30条查询。</w:t>
      </w:r>
    </w:p>
    <w:p>
      <w:pPr>
        <w:pStyle w:val="Heading1"/>
        <w:keepNext/>
        <w:pageBreakBefore/>
        <w:widowControl/>
        <w:spacing w:line="360" w:lineRule="auto" w:before="240" w:after="120"/>
        <w:ind w:firstLine="0" w:firstLineChars="0"/>
        <w:autoSpaceDE w:val="0"/>
        <w:autoSpaceDN w:val="0"/>
      </w:pPr>
      <w:r>
        <w:rPr>
          <w:rFonts w:ascii="宋体" w:hAnsi="宋体" w:eastAsia="宋体" w:cs="宋体"/>
          <w:sz w:val="28"/>
          <w:szCs w:val="28"/>
          <w:color w:val="000000"/>
          <w:b w:val="1"/>
          <w:i w:val="0"/>
        </w:rPr>
        <w:t>关键术语说明</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本说明书对下列术语作如下界定，括号内英文为相应技术用语或用于说明本方案概念的英文译名。</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1"/>
          <w:i w:val="0"/>
        </w:rPr>
        <w:t>基数与基数估算：</w:t>
      </w:r>
      <w:r>
        <w:rPr>
          <w:rFonts w:ascii="宋体" w:hAnsi="宋体" w:eastAsia="宋体" w:cs="宋体"/>
          <w:sz w:val="24"/>
          <w:szCs w:val="24"/>
          <w:color w:val="000000"/>
          <w:b w:val="0"/>
          <w:i w:val="0"/>
        </w:rPr>
        <w:t>（Cardinality and Cardinality Estimation）基数指表、查询结果或中间结果包含的数据行数；在执行计划中，通常体现为算子的输出行数。基数估算是优化器在规划阶段，根据统计信息、查询条件及选择率计算等方法预测结果行数的过程。本方案利用执行中取得的可用行数，修正后续规划采用的基数输入。</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1"/>
          <w:i w:val="0"/>
        </w:rPr>
        <w:t>行数提示：</w:t>
      </w:r>
      <w:r>
        <w:rPr>
          <w:rFonts w:ascii="宋体" w:hAnsi="宋体" w:eastAsia="宋体" w:cs="宋体"/>
          <w:sz w:val="24"/>
          <w:szCs w:val="24"/>
          <w:color w:val="000000"/>
          <w:b w:val="0"/>
          <w:i w:val="0"/>
        </w:rPr>
        <w:t>（Rows Hint）向数据库优化器指定或修正某个扫描结果、连接结果估算行数的查询提示。它影响优化器对访问路径、连接顺序和连接方法的选择。本方案将跨轮合并后的行数值写入Rows Hint，作为下一轮规划的输入。</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1"/>
          <w:i w:val="0"/>
        </w:rPr>
        <w:t>计划提示集合：</w:t>
      </w:r>
      <w:r>
        <w:rPr>
          <w:rFonts w:ascii="宋体" w:hAnsi="宋体" w:eastAsia="宋体" w:cs="宋体"/>
          <w:sz w:val="24"/>
          <w:szCs w:val="24"/>
          <w:color w:val="000000"/>
          <w:b w:val="0"/>
          <w:i w:val="0"/>
        </w:rPr>
        <w:t>（Plan Outline）正文中简称Outline，指用于描述或约束执行计划特征的一组优化器提示，可包含扫描访问路径、连接顺序和连接方法等信息。数据库在后续规划中识别并采用这些提示，以生成具有相应特征的计划；提示的生效范围取决于数据库支持的提示语义及其匹配条件。</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1"/>
          <w:i w:val="0"/>
        </w:rPr>
        <w:t>候选执行计划：</w:t>
      </w:r>
      <w:r>
        <w:rPr>
          <w:rFonts w:ascii="宋体" w:hAnsi="宋体" w:eastAsia="宋体" w:cs="宋体"/>
          <w:sz w:val="24"/>
          <w:szCs w:val="24"/>
          <w:color w:val="000000"/>
          <w:b w:val="0"/>
          <w:i w:val="0"/>
        </w:rPr>
        <w:t>（Candidate Execution Plan）优化器根据原始SQL和本轮规划输入生成、等待试运行和性能评价的物理执行计划。计划由扫描、连接、排序等算子组成，规定查询的数据访问和处理步骤。本方案通过多轮试运行取得节点统计，并比较正常完成候选的完整运行时间。</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1"/>
          <w:i w:val="0"/>
        </w:rPr>
        <w:t>执行上下文：</w:t>
      </w:r>
      <w:r>
        <w:rPr>
          <w:rFonts w:ascii="宋体" w:hAnsi="宋体" w:eastAsia="宋体" w:cs="宋体"/>
          <w:sz w:val="24"/>
          <w:szCs w:val="24"/>
          <w:color w:val="000000"/>
          <w:b w:val="0"/>
          <w:i w:val="0"/>
        </w:rPr>
        <w:t>（Execution Context）数据库为一次计划执行建立的运行时环境，包括算子执行状态、执行统计和相关资源。本方案为各轮候选分别创建执行上下文，前轮取得的统计通过后续规划输入继续发挥作用，各轮按各自的计划开始执行。</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1"/>
          <w:i w:val="0"/>
        </w:rPr>
        <w:t>部分反馈：</w:t>
      </w:r>
      <w:r>
        <w:rPr>
          <w:rFonts w:ascii="宋体" w:hAnsi="宋体" w:eastAsia="宋体" w:cs="宋体"/>
          <w:sz w:val="24"/>
          <w:szCs w:val="24"/>
          <w:color w:val="000000"/>
          <w:b w:val="0"/>
          <w:i w:val="0"/>
        </w:rPr>
        <w:t>（Partial Execution Feedback）本轮候选计划尚未整体执行完毕时取得、且经判定可用于后续规划的节点统计。它既可包含已返回全部相关行数的节点所提供的精确行数，也可包含尚未全部返回、但满足反馈条件的节点所提供的行数下界。</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1"/>
          <w:i w:val="0"/>
        </w:rPr>
        <w:t>反馈目标：</w:t>
      </w:r>
      <w:r>
        <w:rPr>
          <w:rFonts w:ascii="宋体" w:hAnsi="宋体" w:eastAsia="宋体" w:cs="宋体"/>
          <w:sz w:val="24"/>
          <w:szCs w:val="24"/>
          <w:color w:val="000000"/>
          <w:b w:val="0"/>
          <w:i w:val="0"/>
        </w:rPr>
        <w:t>（Feedback Target）需要在后续规划中修正行数估算的一个扫描结果或连接结果。确定反馈目标时，需要结合查询块、关系或中间关系、谓词、连接类型、运行参数和数据可见范围。不同轮次可以由不同的物理计划节点计算同一反馈目标。</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1"/>
          <w:i w:val="0"/>
        </w:rPr>
        <w:t>本地EOF：</w:t>
      </w:r>
      <w:r>
        <w:rPr>
          <w:rFonts w:ascii="宋体" w:hAnsi="宋体" w:eastAsia="宋体" w:cs="宋体"/>
          <w:sz w:val="24"/>
          <w:szCs w:val="24"/>
          <w:color w:val="000000"/>
          <w:b w:val="0"/>
          <w:i w:val="0"/>
        </w:rPr>
        <w:t>（Local End of File）算子在本次取数过程中读到数据流结束的状态。本文中，active=true表示取下一行数据的调用正在进行，active=false表示当前没有正在进行的取数调用；terminal=true表示本地已读到过EOF且当前没有取数调用。是否还会因后续输入而再次执行，仍需结合父子调用关系判断。</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1"/>
          <w:i w:val="0"/>
        </w:rPr>
        <w:t>精确行数：</w:t>
      </w:r>
      <w:r>
        <w:rPr>
          <w:rFonts w:ascii="宋体" w:hAnsi="宋体" w:eastAsia="宋体" w:cs="宋体"/>
          <w:sz w:val="24"/>
          <w:szCs w:val="24"/>
          <w:color w:val="000000"/>
          <w:b w:val="0"/>
          <w:i w:val="0"/>
        </w:rPr>
        <w:t>（Exact Row Count）反馈目标在明确统计范围内的最终实际返回行数。确认已有统计已覆盖该目标的全部相关输出、且计划继续执行也不会再为该目标产生输出时，可以采用该数值，并以EXACT标记其反馈类型。正常完成的计划和超时取消计划中的适用节点均可提供精确行数。</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1"/>
          <w:i w:val="0"/>
        </w:rPr>
        <w:t>行数下界：</w:t>
      </w:r>
      <w:r>
        <w:rPr>
          <w:rFonts w:ascii="宋体" w:hAnsi="宋体" w:eastAsia="宋体" w:cs="宋体"/>
          <w:sz w:val="24"/>
          <w:szCs w:val="24"/>
          <w:color w:val="000000"/>
          <w:b w:val="0"/>
          <w:i w:val="0"/>
        </w:rPr>
        <w:t>（Lower Bound on Row Count）已确认不超过同一反馈目标最终行数的数值。本方案使用满足统计范围一致、计数可比较且只会随执行继续累加等条件的已返回行数构成下界；只有该数值超过本轮计划估算时，才将其作为LOWER_BOUND反馈采用。</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1"/>
          <w:i w:val="0"/>
        </w:rPr>
        <w:t>跨轮反馈合并：</w:t>
      </w:r>
      <w:r>
        <w:rPr>
          <w:rFonts w:ascii="宋体" w:hAnsi="宋体" w:eastAsia="宋体" w:cs="宋体"/>
          <w:sz w:val="24"/>
          <w:szCs w:val="24"/>
          <w:color w:val="000000"/>
          <w:b w:val="0"/>
          <w:i w:val="0"/>
        </w:rPr>
        <w:t>（Cross-Round Feedback Merging）将本轮可用行数与此前保存的行数信息进行整合、更新后续规划输入的过程。合并仅针对含义和统计范围一致、且统计仍然适用的反馈目标。精确行数用于替换保存值；尚无精确行数时，有效下界取最大值且仅用于提高保存值；没有可用反馈时保持原值。</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1"/>
          <w:i w:val="0"/>
        </w:rPr>
        <w:t>单轮执行期限：</w:t>
      </w:r>
      <w:r>
        <w:rPr>
          <w:rFonts w:ascii="宋体" w:hAnsi="宋体" w:eastAsia="宋体" w:cs="宋体"/>
          <w:sz w:val="24"/>
          <w:szCs w:val="24"/>
          <w:color w:val="000000"/>
          <w:b w:val="0"/>
          <w:i w:val="0"/>
        </w:rPr>
        <w:t>（Per-Round Execution Time Limit）为单个候选计划试运行设置的可运行时间上限，达到期限时触发取消。本方案根据可配置的初始上限、已正常完成并保留的候选计划最佳完整运行时间及剩余全局调优预算确定该期限，并为取消清理和后续处理预留时间。</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1"/>
          <w:i w:val="0"/>
        </w:rPr>
        <w:t>全局调优预算：</w:t>
      </w:r>
      <w:r>
        <w:rPr>
          <w:rFonts w:ascii="宋体" w:hAnsi="宋体" w:eastAsia="宋体" w:cs="宋体"/>
          <w:sz w:val="24"/>
          <w:szCs w:val="24"/>
          <w:color w:val="000000"/>
          <w:b w:val="0"/>
          <w:i w:val="0"/>
        </w:rPr>
        <w:t>（Global Tuning Time Budget）为同一SQL的多轮候选搜索分配的总时间额度，用于统筹约束候选规划、试运行和反馈处理等过程。迭代控制根据剩余预算及其他停止条件，判断是否继续生成和试运行后续候选。</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1"/>
          <w:i w:val="0"/>
        </w:rPr>
        <w:t>完整运行时间：</w:t>
      </w:r>
      <w:r>
        <w:rPr>
          <w:rFonts w:ascii="宋体" w:hAnsi="宋体" w:eastAsia="宋体" w:cs="宋体"/>
          <w:sz w:val="24"/>
          <w:szCs w:val="24"/>
          <w:color w:val="000000"/>
          <w:b w:val="0"/>
          <w:i w:val="0"/>
        </w:rPr>
        <w:t>（Complete Execution Time）候选计划正常执行结束时记录的该次执行耗时。本方案用它比较已完成候选的性能、选择最佳候选并调整后续单轮执行上限。超时取消轮次的已耗时间另行记录。</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1"/>
          <w:i w:val="0"/>
        </w:rPr>
        <w:t>执行计划查看与执行分析命令：</w:t>
      </w:r>
      <w:r>
        <w:rPr>
          <w:rFonts w:ascii="宋体" w:hAnsi="宋体" w:eastAsia="宋体" w:cs="宋体"/>
          <w:sz w:val="24"/>
          <w:szCs w:val="24"/>
          <w:color w:val="000000"/>
          <w:b w:val="0"/>
          <w:i w:val="0"/>
        </w:rPr>
        <w:t>（EXPLAIN and EXPLAIN ANALYZE）EXPLAIN用于生成和查看执行计划及估算信息；EXPLAIN ANALYZE实际运行查询，并在正常结束时返回计划、节点执行统计及完整运行时间。本方案使用EXPLAIN ANALYZE试运行候选，在超时取消时于执行器清理前保存已有节点统计。</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宋体">
    <w:altName w:val="Songti SC"/>
    <w:family w:val="roman"/>
    <w:charset w:val="86"/>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line="360" w:lineRule="auto" w:before="0" w:after="0"/>
      <w:ind w:firstLine="0" w:firstLineChars="0"/>
      <w:autoSpaceDE w:val="0"/>
      <w:autoSpaceDN w:val="0"/>
      <w:jc w:val="center"/>
    </w:pPr>
    <w:fldSimple w:instr="PAGE">
      <w:r>
        <w:rPr>
          <w:rFonts w:ascii="宋体" w:hAnsi="宋体" w:eastAsia="宋体" w:cs="宋体"/>
          <w:sz w:val="20"/>
          <w:szCs w:val="20"/>
          <w:color w:val="000000"/>
          <w:b w:val="0"/>
          <w:i w:val="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宋体" w:hAnsi="宋体" w:eastAsia="宋体" w:cs="宋体"/>
      <w:color w:val="000000"/>
      <w:sz w:val="24"/>
      <w:szCs w:val="24"/>
      <w:b w:val="0"/>
      <w:i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宋体" w:hAnsi="宋体" w:eastAsia="宋体" w:cs="宋体"/>
      <w:b/>
      <w:bCs/>
      <w:color w:val="000000"/>
      <w:sz w:val="24"/>
      <w:szCs w:val="24"/>
      <w:b w:val="0"/>
      <w:i w:val="0"/>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宋体" w:hAnsi="宋体" w:eastAsia="宋体" w:cs="宋体"/>
      <w:b/>
      <w:bCs/>
      <w:color w:val="000000"/>
      <w:sz w:val="24"/>
      <w:szCs w:val="24"/>
      <w:b w:val="0"/>
      <w:i w:val="0"/>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宋体" w:hAnsi="宋体" w:eastAsia="宋体" w:cs="宋体"/>
      <w:b/>
      <w:bCs/>
      <w:color w:val="000000"/>
      <w:sz w:val="24"/>
      <w:szCs w:val="24"/>
      <w:b w:val="0"/>
      <w:i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360" w:lineRule="auto"/>
      <w:contextualSpacing/>
    </w:pPr>
    <w:rPr>
      <w:rFonts w:ascii="宋体" w:hAnsi="宋体" w:eastAsia="宋体" w:cs="宋体"/>
      <w:color w:val="000000"/>
      <w:spacing w:val="5"/>
      <w:kern w:val="28"/>
      <w:sz w:val="24"/>
      <w:szCs w:val="24"/>
      <w:b w:val="0"/>
      <w:i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缩略语和关键术语</dc:title>
  <dc:subject/>
  <dc:creator/>
  <cp:keywords/>
  <dc:description/>
  <cp:lastModifiedBy/>
  <cp:revision>1</cp:revision>
  <dcterms:created xsi:type="dcterms:W3CDTF">2013-12-23T23:15:00Z</dcterms:created>
  <dcterms:modified xsi:type="dcterms:W3CDTF">2013-12-23T23:15:00Z</dcterms:modified>
  <cp:category/>
</cp:coreProperties>
</file>