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widowControl/>
        <w:spacing w:line="360" w:lineRule="auto" w:before="0" w:after="240"/>
        <w:ind w:firstLine="0" w:firstLineChars="0"/>
        <w:autoSpaceDE w:val="0"/>
        <w:autoSpaceDN w:val="0"/>
        <w:jc w:val="center"/>
      </w:pPr>
      <w:r>
        <w:rPr>
          <w:rFonts w:ascii="宋体" w:hAnsi="宋体" w:eastAsia="宋体" w:cs="宋体"/>
          <w:sz w:val="32"/>
          <w:szCs w:val="32"/>
          <w:color w:val="000000"/>
          <w:b w:val="1"/>
          <w:i w:val="0"/>
        </w:rPr>
        <w:t>现有技术文献信息表</w:t>
      </w:r>
    </w:p>
    <w:p>
      <w:pPr>
        <w:widowControl/>
        <w:spacing w:line="360" w:lineRule="auto" w:before="0" w:after="0"/>
        <w:ind w:firstLine="480" w:firstLineChars="200"/>
        <w:autoSpaceDE w:val="0"/>
        <w:autoSpaceDN w:val="0"/>
        <w:jc w:val="both"/>
      </w:pPr>
      <w:r>
        <w:rPr>
          <w:rFonts w:ascii="宋体" w:hAnsi="宋体" w:eastAsia="宋体" w:cs="宋体"/>
          <w:sz w:val="24"/>
          <w:szCs w:val="24"/>
          <w:color w:val="000000"/>
          <w:b w:val="0"/>
          <w:i w:val="0"/>
        </w:rPr>
        <w:t>共13项文献。专利位置按A1原始PDF定位；PDF页码从文件第1页起算，书内页码另注。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0"/>
        <w:gridCol w:w="1728"/>
        <w:gridCol w:w="1440"/>
        <w:gridCol w:w="3312"/>
      </w:tblGrid>
      <w:tr>
        <w:trPr>
          <w:cantSplit/>
          <w:tblHeader/>
        </w:trPr>
        <w:tc>
          <w:tcPr>
            <w:tcW w:type="dxa" w:w="6480"/>
            <w:vAlign w:val="top"/>
            <w:shd w:fill="F2F2F2"/>
          </w:tcPr>
          <w:p>
            <w:pPr>
              <w:widowControl/>
              <w:spacing w:line="360" w:lineRule="auto" w:before="60" w:after="60"/>
              <w:ind w:firstLine="0" w:firstLineChars="0"/>
              <w:autoSpaceDE w:val="0"/>
              <w:autoSpaceDN w:val="0"/>
            </w:pPr>
            <w:r>
              <w:rPr>
                <w:rFonts w:ascii="宋体" w:hAnsi="宋体" w:eastAsia="宋体" w:cs="宋体"/>
                <w:sz w:val="24"/>
                <w:szCs w:val="24"/>
                <w:color w:val="000000"/>
                <w:b w:val="1"/>
                <w:i w:val="0"/>
              </w:rPr>
              <w:t>国别及文献号／非专利文献出版信息（卷期或版本）</w:t>
            </w:r>
          </w:p>
        </w:tc>
        <w:tc>
          <w:tcPr>
            <w:tcW w:type="dxa" w:w="1728"/>
            <w:vAlign w:val="top"/>
            <w:shd w:fill="F2F2F2"/>
          </w:tcPr>
          <w:p>
            <w:pPr>
              <w:widowControl/>
              <w:spacing w:line="360" w:lineRule="auto" w:before="60" w:after="60"/>
              <w:ind w:firstLine="0" w:firstLineChars="0"/>
              <w:autoSpaceDE w:val="0"/>
              <w:autoSpaceDN w:val="0"/>
            </w:pPr>
            <w:r>
              <w:rPr>
                <w:rFonts w:ascii="宋体" w:hAnsi="宋体" w:eastAsia="宋体" w:cs="宋体"/>
                <w:sz w:val="24"/>
                <w:szCs w:val="24"/>
                <w:color w:val="000000"/>
                <w:b w:val="1"/>
                <w:i w:val="0"/>
              </w:rPr>
              <w:t>公开日期</w:t>
            </w:r>
          </w:p>
        </w:tc>
        <w:tc>
          <w:tcPr>
            <w:tcW w:type="dxa" w:w="1440"/>
            <w:vAlign w:val="center"/>
            <w:shd w:fill="F2F2F2"/>
          </w:tcPr>
          <w:p>
            <w:pPr>
              <w:widowControl/>
              <w:spacing w:line="360" w:lineRule="auto" w:before="60" w:after="60"/>
              <w:ind w:firstLine="0" w:firstLineChars="0"/>
              <w:autoSpaceDE w:val="0"/>
              <w:autoSpaceDN w:val="0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  <w:color w:val="000000"/>
                <w:b w:val="1"/>
                <w:i w:val="0"/>
              </w:rPr>
              <w:t>文档来源</w:t>
            </w:r>
          </w:p>
        </w:tc>
        <w:tc>
          <w:tcPr>
            <w:tcW w:type="dxa" w:w="3312"/>
            <w:vAlign w:val="top"/>
            <w:shd w:fill="F2F2F2"/>
          </w:tcPr>
          <w:p>
            <w:pPr>
              <w:widowControl/>
              <w:spacing w:line="360" w:lineRule="auto" w:before="60" w:after="60"/>
              <w:ind w:firstLine="0" w:firstLineChars="0"/>
              <w:autoSpaceDE w:val="0"/>
              <w:autoSpaceDN w:val="0"/>
            </w:pPr>
            <w:r>
              <w:rPr>
                <w:rFonts w:ascii="宋体" w:hAnsi="宋体" w:eastAsia="宋体" w:cs="宋体"/>
                <w:sz w:val="24"/>
                <w:szCs w:val="24"/>
                <w:color w:val="000000"/>
                <w:b w:val="1"/>
                <w:i w:val="0"/>
              </w:rPr>
              <w:t>相关段落、图、页码或章节</w:t>
            </w:r>
          </w:p>
        </w:tc>
      </w:tr>
      <w:tr>
        <w:trPr>
          <w:cantSplit/>
        </w:trPr>
        <w:tc>
          <w:tcPr>
            <w:tcW w:type="dxa" w:w="6480"/>
            <w:vAlign w:val="top"/>
          </w:tcPr>
          <w:p>
            <w:pPr>
              <w:widowControl/>
              <w:spacing w:line="360" w:lineRule="auto" w:before="60" w:after="60"/>
              <w:ind w:firstLine="0" w:firstLineChars="0"/>
              <w:autoSpaceDE w:val="0"/>
              <w:autoSpaceDN w:val="0"/>
            </w:pPr>
            <w:r>
              <w:rPr>
                <w:rFonts w:ascii="宋体" w:hAnsi="宋体" w:eastAsia="宋体" w:cs="宋体"/>
                <w:sz w:val="24"/>
                <w:szCs w:val="24"/>
                <w:color w:val="000000"/>
                <w:b w:val="1"/>
                <w:i w:val="0"/>
              </w:rPr>
              <w:t>System, Method, and Computer Program Product for Progressive Query Processing</w:t>
            </w:r>
            <w:r>
              <w:rPr>
                <w:rFonts w:ascii="宋体" w:hAnsi="宋体" w:eastAsia="宋体" w:cs="宋体"/>
                <w:sz w:val="24"/>
                <w:szCs w:val="24"/>
                <w:color w:val="000000"/>
                <w:b w:val="0"/>
                <w:i w:val="0"/>
              </w:rPr>
              <w:br/>
              <w:t>United States (US): US20080177722A1</w:t>
            </w:r>
          </w:p>
        </w:tc>
        <w:tc>
          <w:tcPr>
            <w:tcW w:type="dxa" w:w="1728"/>
            <w:vAlign w:val="top"/>
          </w:tcPr>
          <w:p>
            <w:pPr>
              <w:widowControl/>
              <w:spacing w:line="360" w:lineRule="auto" w:before="60" w:after="60"/>
              <w:ind w:firstLine="0" w:firstLineChars="0"/>
              <w:autoSpaceDE w:val="0"/>
              <w:autoSpaceDN w:val="0"/>
            </w:pPr>
            <w:r>
              <w:rPr>
                <w:rFonts w:ascii="宋体" w:hAnsi="宋体" w:eastAsia="宋体" w:cs="宋体"/>
                <w:sz w:val="24"/>
                <w:szCs w:val="24"/>
                <w:color w:val="000000"/>
                <w:b w:val="0"/>
                <w:i w:val="0"/>
              </w:rPr>
              <w:t>2008-07</w:t>
            </w:r>
          </w:p>
        </w:tc>
        <w:tc>
          <w:tcPr>
            <w:tcW w:type="dxa" w:w="1440"/>
            <w:vAlign w:val="center"/>
          </w:tcPr>
          <w:p>
            <w:pPr>
              <w:widowControl/>
              <w:spacing w:line="360" w:lineRule="auto" w:before="60" w:after="60"/>
              <w:ind w:firstLine="0" w:firstLineChars="0"/>
              <w:autoSpaceDE w:val="0"/>
              <w:autoSpaceDN w:val="0"/>
              <w:jc w:val="center"/>
            </w:pPr>
            <w:hyperlink r:id="rId10">
              <w:r>
                <w:rPr>
                  <w:rFonts w:ascii="宋体" w:hAnsi="宋体" w:eastAsia="宋体" w:cs="宋体"/>
                  <w:sz w:val="24"/>
                  <w:szCs w:val="24"/>
                  <w:color w:val="000000"/>
                  <w:b w:val="0"/>
                  <w:i w:val="0"/>
                  <w:color w:val="315B78"/>
                  <w:u w:val="single"/>
                </w:rPr>
                <w:t>原文PDF</w:t>
              </w:r>
            </w:hyperlink>
          </w:p>
        </w:tc>
        <w:tc>
          <w:tcPr>
            <w:tcW w:type="dxa" w:w="3312"/>
            <w:vAlign w:val="top"/>
          </w:tcPr>
          <w:p>
            <w:pPr>
              <w:widowControl/>
              <w:spacing w:line="360" w:lineRule="auto" w:before="60" w:after="60"/>
              <w:ind w:firstLine="0" w:firstLineChars="0"/>
              <w:autoSpaceDE w:val="0"/>
              <w:autoSpaceDN w:val="0"/>
            </w:pPr>
            <w:r>
              <w:rPr>
                <w:rFonts w:ascii="宋体" w:hAnsi="宋体" w:eastAsia="宋体" w:cs="宋体"/>
                <w:sz w:val="24"/>
                <w:szCs w:val="24"/>
                <w:color w:val="000000"/>
                <w:b w:val="0"/>
                <w:i w:val="0"/>
              </w:rPr>
              <w:t>PDF第20–24页；第8页图7。</w:t>
            </w:r>
          </w:p>
        </w:tc>
      </w:tr>
      <w:tr>
        <w:trPr>
          <w:cantSplit/>
        </w:trPr>
        <w:tc>
          <w:tcPr>
            <w:tcW w:type="dxa" w:w="6480"/>
            <w:vAlign w:val="top"/>
          </w:tcPr>
          <w:p>
            <w:pPr>
              <w:widowControl/>
              <w:spacing w:line="360" w:lineRule="auto" w:before="60" w:after="60"/>
              <w:ind w:firstLine="0" w:firstLineChars="0"/>
              <w:autoSpaceDE w:val="0"/>
              <w:autoSpaceDN w:val="0"/>
            </w:pPr>
            <w:r>
              <w:rPr>
                <w:rFonts w:ascii="宋体" w:hAnsi="宋体" w:eastAsia="宋体" w:cs="宋体"/>
                <w:sz w:val="24"/>
                <w:szCs w:val="24"/>
                <w:color w:val="000000"/>
                <w:b w:val="1"/>
                <w:i w:val="0"/>
              </w:rPr>
              <w:t>LEO - DB2's LEarning Optimizer</w:t>
            </w:r>
            <w:r>
              <w:rPr>
                <w:rFonts w:ascii="宋体" w:hAnsi="宋体" w:eastAsia="宋体" w:cs="宋体"/>
                <w:sz w:val="24"/>
                <w:szCs w:val="24"/>
                <w:color w:val="000000"/>
                <w:b w:val="0"/>
                <w:i w:val="0"/>
              </w:rPr>
              <w:br/>
              <w:t>Proceedings of the 27th International Conference on Very Large Data Bases (VLDB 2001), pp.19–28.</w:t>
            </w:r>
          </w:p>
        </w:tc>
        <w:tc>
          <w:tcPr>
            <w:tcW w:type="dxa" w:w="1728"/>
            <w:vAlign w:val="top"/>
          </w:tcPr>
          <w:p>
            <w:pPr>
              <w:widowControl/>
              <w:spacing w:line="360" w:lineRule="auto" w:before="60" w:after="60"/>
              <w:ind w:firstLine="0" w:firstLineChars="0"/>
              <w:autoSpaceDE w:val="0"/>
              <w:autoSpaceDN w:val="0"/>
            </w:pPr>
            <w:r>
              <w:rPr>
                <w:rFonts w:ascii="宋体" w:hAnsi="宋体" w:eastAsia="宋体" w:cs="宋体"/>
                <w:sz w:val="24"/>
                <w:szCs w:val="24"/>
                <w:color w:val="000000"/>
                <w:b w:val="0"/>
                <w:i w:val="0"/>
              </w:rPr>
              <w:t>2001-09-11</w:t>
            </w:r>
          </w:p>
        </w:tc>
        <w:tc>
          <w:tcPr>
            <w:tcW w:type="dxa" w:w="1440"/>
            <w:vAlign w:val="center"/>
          </w:tcPr>
          <w:p>
            <w:pPr>
              <w:widowControl/>
              <w:spacing w:line="360" w:lineRule="auto" w:before="60" w:after="60"/>
              <w:ind w:firstLine="0" w:firstLineChars="0"/>
              <w:autoSpaceDE w:val="0"/>
              <w:autoSpaceDN w:val="0"/>
              <w:jc w:val="center"/>
            </w:pPr>
            <w:hyperlink r:id="rId11">
              <w:r>
                <w:rPr>
                  <w:rFonts w:ascii="宋体" w:hAnsi="宋体" w:eastAsia="宋体" w:cs="宋体"/>
                  <w:sz w:val="24"/>
                  <w:szCs w:val="24"/>
                  <w:color w:val="000000"/>
                  <w:b w:val="0"/>
                  <w:i w:val="0"/>
                  <w:color w:val="315B78"/>
                  <w:u w:val="single"/>
                </w:rPr>
                <w:t>原文PDF</w:t>
              </w:r>
            </w:hyperlink>
          </w:p>
        </w:tc>
        <w:tc>
          <w:tcPr>
            <w:tcW w:type="dxa" w:w="3312"/>
            <w:vAlign w:val="top"/>
          </w:tcPr>
          <w:p>
            <w:pPr>
              <w:widowControl/>
              <w:spacing w:line="360" w:lineRule="auto" w:before="60" w:after="60"/>
              <w:ind w:firstLine="0" w:firstLineChars="0"/>
              <w:autoSpaceDE w:val="0"/>
              <w:autoSpaceDN w:val="0"/>
            </w:pPr>
            <w:r>
              <w:rPr>
                <w:rFonts w:ascii="宋体" w:hAnsi="宋体" w:eastAsia="宋体" w:cs="宋体"/>
                <w:sz w:val="24"/>
                <w:szCs w:val="24"/>
                <w:color w:val="000000"/>
                <w:b w:val="0"/>
                <w:i w:val="0"/>
              </w:rPr>
              <w:t>PDF第3页§3、图1；第5页§4.2–4.3。</w:t>
            </w:r>
          </w:p>
        </w:tc>
      </w:tr>
      <w:tr>
        <w:trPr>
          <w:cantSplit/>
        </w:trPr>
        <w:tc>
          <w:tcPr>
            <w:tcW w:type="dxa" w:w="6480"/>
            <w:vAlign w:val="top"/>
          </w:tcPr>
          <w:p>
            <w:pPr>
              <w:widowControl/>
              <w:spacing w:line="360" w:lineRule="auto" w:before="60" w:after="60"/>
              <w:ind w:firstLine="0" w:firstLineChars="0"/>
              <w:autoSpaceDE w:val="0"/>
              <w:autoSpaceDN w:val="0"/>
            </w:pPr>
            <w:r>
              <w:rPr>
                <w:rFonts w:ascii="宋体" w:hAnsi="宋体" w:eastAsia="宋体" w:cs="宋体"/>
                <w:sz w:val="24"/>
                <w:szCs w:val="24"/>
                <w:color w:val="000000"/>
                <w:b w:val="1"/>
                <w:i w:val="0"/>
              </w:rPr>
              <w:t>Robust Query Processing through Progressive Optimization</w:t>
            </w:r>
            <w:r>
              <w:rPr>
                <w:rFonts w:ascii="宋体" w:hAnsi="宋体" w:eastAsia="宋体" w:cs="宋体"/>
                <w:sz w:val="24"/>
                <w:szCs w:val="24"/>
                <w:color w:val="000000"/>
                <w:b w:val="0"/>
                <w:i w:val="0"/>
              </w:rPr>
              <w:br/>
              <w:t>Proceedings of the 2004 ACM SIGMOD International Conference on Management of Data, pp.659–670.</w:t>
            </w:r>
          </w:p>
        </w:tc>
        <w:tc>
          <w:tcPr>
            <w:tcW w:type="dxa" w:w="1728"/>
            <w:vAlign w:val="top"/>
          </w:tcPr>
          <w:p>
            <w:pPr>
              <w:widowControl/>
              <w:spacing w:line="360" w:lineRule="auto" w:before="60" w:after="60"/>
              <w:ind w:firstLine="0" w:firstLineChars="0"/>
              <w:autoSpaceDE w:val="0"/>
              <w:autoSpaceDN w:val="0"/>
            </w:pPr>
            <w:r>
              <w:rPr>
                <w:rFonts w:ascii="宋体" w:hAnsi="宋体" w:eastAsia="宋体" w:cs="宋体"/>
                <w:sz w:val="24"/>
                <w:szCs w:val="24"/>
                <w:color w:val="000000"/>
                <w:b w:val="0"/>
                <w:i w:val="0"/>
              </w:rPr>
              <w:t>2004-06-13</w:t>
            </w:r>
          </w:p>
        </w:tc>
        <w:tc>
          <w:tcPr>
            <w:tcW w:type="dxa" w:w="1440"/>
            <w:vAlign w:val="center"/>
          </w:tcPr>
          <w:p>
            <w:pPr>
              <w:widowControl/>
              <w:spacing w:line="360" w:lineRule="auto" w:before="60" w:after="60"/>
              <w:ind w:firstLine="0" w:firstLineChars="0"/>
              <w:autoSpaceDE w:val="0"/>
              <w:autoSpaceDN w:val="0"/>
              <w:jc w:val="center"/>
            </w:pPr>
            <w:hyperlink r:id="rId12">
              <w:r>
                <w:rPr>
                  <w:rFonts w:ascii="宋体" w:hAnsi="宋体" w:eastAsia="宋体" w:cs="宋体"/>
                  <w:sz w:val="24"/>
                  <w:szCs w:val="24"/>
                  <w:color w:val="000000"/>
                  <w:b w:val="0"/>
                  <w:i w:val="0"/>
                  <w:color w:val="315B78"/>
                  <w:u w:val="single"/>
                </w:rPr>
                <w:t>原文PDF</w:t>
              </w:r>
            </w:hyperlink>
          </w:p>
        </w:tc>
        <w:tc>
          <w:tcPr>
            <w:tcW w:type="dxa" w:w="3312"/>
            <w:vAlign w:val="top"/>
          </w:tcPr>
          <w:p>
            <w:pPr>
              <w:widowControl/>
              <w:spacing w:line="360" w:lineRule="auto" w:before="60" w:after="60"/>
              <w:ind w:firstLine="0" w:firstLineChars="0"/>
              <w:autoSpaceDE w:val="0"/>
              <w:autoSpaceDN w:val="0"/>
            </w:pPr>
            <w:r>
              <w:rPr>
                <w:rFonts w:ascii="宋体" w:hAnsi="宋体" w:eastAsia="宋体" w:cs="宋体"/>
                <w:sz w:val="24"/>
                <w:szCs w:val="24"/>
                <w:color w:val="000000"/>
                <w:b w:val="0"/>
                <w:i w:val="0"/>
              </w:rPr>
              <w:t>PDF第3页§2、图1；第5–6页§2.3；第6–7页§3.1–3.3。</w:t>
            </w:r>
          </w:p>
        </w:tc>
      </w:tr>
      <w:tr>
        <w:trPr>
          <w:cantSplit/>
        </w:trPr>
        <w:tc>
          <w:tcPr>
            <w:tcW w:type="dxa" w:w="6480"/>
            <w:vAlign w:val="top"/>
          </w:tcPr>
          <w:p>
            <w:pPr>
              <w:widowControl/>
              <w:spacing w:line="360" w:lineRule="auto" w:before="60" w:after="60"/>
              <w:ind w:firstLine="0" w:firstLineChars="0"/>
              <w:autoSpaceDE w:val="0"/>
              <w:autoSpaceDN w:val="0"/>
            </w:pPr>
            <w:r>
              <w:rPr>
                <w:rFonts w:ascii="宋体" w:hAnsi="宋体" w:eastAsia="宋体" w:cs="宋体"/>
                <w:sz w:val="24"/>
                <w:szCs w:val="24"/>
                <w:color w:val="000000"/>
                <w:b w:val="1"/>
                <w:i w:val="0"/>
              </w:rPr>
              <w:t>Progressive Optimization in Action</w:t>
            </w:r>
            <w:r>
              <w:rPr>
                <w:rFonts w:ascii="宋体" w:hAnsi="宋体" w:eastAsia="宋体" w:cs="宋体"/>
                <w:sz w:val="24"/>
                <w:szCs w:val="24"/>
                <w:color w:val="000000"/>
                <w:b w:val="0"/>
                <w:i w:val="0"/>
              </w:rPr>
              <w:br/>
              <w:t>Proceedings of the 30th International Conference on Very Large Data Bases (VLDB 2004), pp.1337–1340.</w:t>
            </w:r>
          </w:p>
        </w:tc>
        <w:tc>
          <w:tcPr>
            <w:tcW w:type="dxa" w:w="1728"/>
            <w:vAlign w:val="top"/>
          </w:tcPr>
          <w:p>
            <w:pPr>
              <w:widowControl/>
              <w:spacing w:line="360" w:lineRule="auto" w:before="60" w:after="60"/>
              <w:ind w:firstLine="0" w:firstLineChars="0"/>
              <w:autoSpaceDE w:val="0"/>
              <w:autoSpaceDN w:val="0"/>
            </w:pPr>
            <w:r>
              <w:rPr>
                <w:rFonts w:ascii="宋体" w:hAnsi="宋体" w:eastAsia="宋体" w:cs="宋体"/>
                <w:sz w:val="24"/>
                <w:szCs w:val="24"/>
                <w:color w:val="000000"/>
                <w:b w:val="0"/>
                <w:i w:val="0"/>
              </w:rPr>
              <w:t>2004年</w:t>
            </w:r>
          </w:p>
        </w:tc>
        <w:tc>
          <w:tcPr>
            <w:tcW w:type="dxa" w:w="1440"/>
            <w:vAlign w:val="center"/>
          </w:tcPr>
          <w:p>
            <w:pPr>
              <w:widowControl/>
              <w:spacing w:line="360" w:lineRule="auto" w:before="60" w:after="60"/>
              <w:ind w:firstLine="0" w:firstLineChars="0"/>
              <w:autoSpaceDE w:val="0"/>
              <w:autoSpaceDN w:val="0"/>
              <w:jc w:val="center"/>
            </w:pPr>
            <w:hyperlink r:id="rId13">
              <w:r>
                <w:rPr>
                  <w:rFonts w:ascii="宋体" w:hAnsi="宋体" w:eastAsia="宋体" w:cs="宋体"/>
                  <w:sz w:val="24"/>
                  <w:szCs w:val="24"/>
                  <w:color w:val="000000"/>
                  <w:b w:val="0"/>
                  <w:i w:val="0"/>
                  <w:color w:val="315B78"/>
                  <w:u w:val="single"/>
                </w:rPr>
                <w:t>原文PDF</w:t>
              </w:r>
            </w:hyperlink>
          </w:p>
        </w:tc>
        <w:tc>
          <w:tcPr>
            <w:tcW w:type="dxa" w:w="3312"/>
            <w:vAlign w:val="top"/>
          </w:tcPr>
          <w:p>
            <w:pPr>
              <w:widowControl/>
              <w:spacing w:line="360" w:lineRule="auto" w:before="60" w:after="60"/>
              <w:ind w:firstLine="0" w:firstLineChars="0"/>
              <w:autoSpaceDE w:val="0"/>
              <w:autoSpaceDN w:val="0"/>
            </w:pPr>
            <w:r>
              <w:rPr>
                <w:rFonts w:ascii="宋体" w:hAnsi="宋体" w:eastAsia="宋体" w:cs="宋体"/>
                <w:sz w:val="24"/>
                <w:szCs w:val="24"/>
                <w:color w:val="000000"/>
                <w:b w:val="0"/>
                <w:i w:val="0"/>
              </w:rPr>
              <w:t>PDF第2页图1；第3页§3.1–3.2。</w:t>
            </w:r>
          </w:p>
        </w:tc>
      </w:tr>
      <w:tr>
        <w:trPr>
          <w:cantSplit/>
        </w:trPr>
        <w:tc>
          <w:tcPr>
            <w:tcW w:type="dxa" w:w="6480"/>
            <w:vAlign w:val="top"/>
          </w:tcPr>
          <w:p>
            <w:pPr>
              <w:widowControl/>
              <w:spacing w:line="360" w:lineRule="auto" w:before="60" w:after="60"/>
              <w:ind w:firstLine="0" w:firstLineChars="0"/>
              <w:autoSpaceDE w:val="0"/>
              <w:autoSpaceDN w:val="0"/>
            </w:pPr>
            <w:r>
              <w:rPr>
                <w:rFonts w:ascii="宋体" w:hAnsi="宋体" w:eastAsia="宋体" w:cs="宋体"/>
                <w:sz w:val="24"/>
                <w:szCs w:val="24"/>
                <w:color w:val="000000"/>
                <w:b w:val="1"/>
                <w:i w:val="0"/>
              </w:rPr>
              <w:t>Leveraging Query-Specific Statistics in Non-Equivalent Queries</w:t>
            </w:r>
            <w:r>
              <w:rPr>
                <w:rFonts w:ascii="宋体" w:hAnsi="宋体" w:eastAsia="宋体" w:cs="宋体"/>
                <w:sz w:val="24"/>
                <w:szCs w:val="24"/>
                <w:color w:val="000000"/>
                <w:b w:val="0"/>
                <w:i w:val="0"/>
              </w:rPr>
              <w:br/>
              <w:t>United States (US): US20170357692A1</w:t>
            </w:r>
          </w:p>
        </w:tc>
        <w:tc>
          <w:tcPr>
            <w:tcW w:type="dxa" w:w="1728"/>
            <w:vAlign w:val="top"/>
          </w:tcPr>
          <w:p>
            <w:pPr>
              <w:widowControl/>
              <w:spacing w:line="360" w:lineRule="auto" w:before="60" w:after="60"/>
              <w:ind w:firstLine="0" w:firstLineChars="0"/>
              <w:autoSpaceDE w:val="0"/>
              <w:autoSpaceDN w:val="0"/>
            </w:pPr>
            <w:r>
              <w:rPr>
                <w:rFonts w:ascii="宋体" w:hAnsi="宋体" w:eastAsia="宋体" w:cs="宋体"/>
                <w:sz w:val="24"/>
                <w:szCs w:val="24"/>
                <w:color w:val="000000"/>
                <w:b w:val="0"/>
                <w:i w:val="0"/>
              </w:rPr>
              <w:t>2017-12</w:t>
            </w:r>
          </w:p>
        </w:tc>
        <w:tc>
          <w:tcPr>
            <w:tcW w:type="dxa" w:w="1440"/>
            <w:vAlign w:val="center"/>
          </w:tcPr>
          <w:p>
            <w:pPr>
              <w:widowControl/>
              <w:spacing w:line="360" w:lineRule="auto" w:before="60" w:after="60"/>
              <w:ind w:firstLine="0" w:firstLineChars="0"/>
              <w:autoSpaceDE w:val="0"/>
              <w:autoSpaceDN w:val="0"/>
              <w:jc w:val="center"/>
            </w:pPr>
            <w:hyperlink r:id="rId14">
              <w:r>
                <w:rPr>
                  <w:rFonts w:ascii="宋体" w:hAnsi="宋体" w:eastAsia="宋体" w:cs="宋体"/>
                  <w:sz w:val="24"/>
                  <w:szCs w:val="24"/>
                  <w:color w:val="000000"/>
                  <w:b w:val="0"/>
                  <w:i w:val="0"/>
                  <w:color w:val="315B78"/>
                  <w:u w:val="single"/>
                </w:rPr>
                <w:t>原文PDF</w:t>
              </w:r>
            </w:hyperlink>
          </w:p>
        </w:tc>
        <w:tc>
          <w:tcPr>
            <w:tcW w:type="dxa" w:w="3312"/>
            <w:vAlign w:val="top"/>
          </w:tcPr>
          <w:p>
            <w:pPr>
              <w:widowControl/>
              <w:spacing w:line="360" w:lineRule="auto" w:before="60" w:after="60"/>
              <w:ind w:firstLine="0" w:firstLineChars="0"/>
              <w:autoSpaceDE w:val="0"/>
              <w:autoSpaceDN w:val="0"/>
            </w:pPr>
            <w:r>
              <w:rPr>
                <w:rFonts w:ascii="宋体" w:hAnsi="宋体" w:eastAsia="宋体" w:cs="宋体"/>
                <w:sz w:val="24"/>
                <w:szCs w:val="24"/>
                <w:color w:val="000000"/>
                <w:b w:val="0"/>
                <w:i w:val="0"/>
              </w:rPr>
              <w:t>PDF第13–14页、第17–20页；第2–3页图1–2；第5页图4。</w:t>
            </w:r>
          </w:p>
        </w:tc>
      </w:tr>
      <w:tr>
        <w:trPr>
          <w:cantSplit/>
        </w:trPr>
        <w:tc>
          <w:tcPr>
            <w:tcW w:type="dxa" w:w="6480"/>
            <w:vAlign w:val="top"/>
          </w:tcPr>
          <w:p>
            <w:pPr>
              <w:widowControl/>
              <w:spacing w:line="360" w:lineRule="auto" w:before="60" w:after="60"/>
              <w:ind w:firstLine="0" w:firstLineChars="0"/>
              <w:autoSpaceDE w:val="0"/>
              <w:autoSpaceDN w:val="0"/>
            </w:pPr>
            <w:r>
              <w:rPr>
                <w:rFonts w:ascii="宋体" w:hAnsi="宋体" w:eastAsia="宋体" w:cs="宋体"/>
                <w:sz w:val="24"/>
                <w:szCs w:val="24"/>
                <w:color w:val="000000"/>
                <w:b w:val="1"/>
                <w:i w:val="0"/>
              </w:rPr>
              <w:t>Adaptive Statistics in Oracle 12c</w:t>
            </w:r>
            <w:r>
              <w:rPr>
                <w:rFonts w:ascii="宋体" w:hAnsi="宋体" w:eastAsia="宋体" w:cs="宋体"/>
                <w:sz w:val="24"/>
                <w:szCs w:val="24"/>
                <w:color w:val="000000"/>
                <w:b w:val="0"/>
                <w:i w:val="0"/>
              </w:rPr>
              <w:br/>
              <w:t>Proceedings of the VLDB Endowment (PVLDB), 2017, Vol.10, No.12, pp.1813–1824.</w:t>
            </w:r>
          </w:p>
        </w:tc>
        <w:tc>
          <w:tcPr>
            <w:tcW w:type="dxa" w:w="1728"/>
            <w:vAlign w:val="top"/>
          </w:tcPr>
          <w:p>
            <w:pPr>
              <w:widowControl/>
              <w:spacing w:line="360" w:lineRule="auto" w:before="60" w:after="60"/>
              <w:ind w:firstLine="0" w:firstLineChars="0"/>
              <w:autoSpaceDE w:val="0"/>
              <w:autoSpaceDN w:val="0"/>
            </w:pPr>
            <w:r>
              <w:rPr>
                <w:rFonts w:ascii="宋体" w:hAnsi="宋体" w:eastAsia="宋体" w:cs="宋体"/>
                <w:sz w:val="24"/>
                <w:szCs w:val="24"/>
                <w:color w:val="000000"/>
                <w:b w:val="0"/>
                <w:i w:val="0"/>
              </w:rPr>
              <w:t>2017-08</w:t>
            </w:r>
          </w:p>
        </w:tc>
        <w:tc>
          <w:tcPr>
            <w:tcW w:type="dxa" w:w="1440"/>
            <w:vAlign w:val="center"/>
          </w:tcPr>
          <w:p>
            <w:pPr>
              <w:widowControl/>
              <w:spacing w:line="360" w:lineRule="auto" w:before="60" w:after="60"/>
              <w:ind w:firstLine="0" w:firstLineChars="0"/>
              <w:autoSpaceDE w:val="0"/>
              <w:autoSpaceDN w:val="0"/>
              <w:jc w:val="center"/>
            </w:pPr>
            <w:hyperlink r:id="rId15">
              <w:r>
                <w:rPr>
                  <w:rFonts w:ascii="宋体" w:hAnsi="宋体" w:eastAsia="宋体" w:cs="宋体"/>
                  <w:sz w:val="24"/>
                  <w:szCs w:val="24"/>
                  <w:color w:val="000000"/>
                  <w:b w:val="0"/>
                  <w:i w:val="0"/>
                  <w:color w:val="315B78"/>
                  <w:u w:val="single"/>
                </w:rPr>
                <w:t>原文PDF</w:t>
              </w:r>
            </w:hyperlink>
          </w:p>
        </w:tc>
        <w:tc>
          <w:tcPr>
            <w:tcW w:type="dxa" w:w="3312"/>
            <w:vAlign w:val="top"/>
          </w:tcPr>
          <w:p>
            <w:pPr>
              <w:widowControl/>
              <w:spacing w:line="360" w:lineRule="auto" w:before="60" w:after="60"/>
              <w:ind w:firstLine="0" w:firstLineChars="0"/>
              <w:autoSpaceDE w:val="0"/>
              <w:autoSpaceDN w:val="0"/>
            </w:pPr>
            <w:r>
              <w:rPr>
                <w:rFonts w:ascii="宋体" w:hAnsi="宋体" w:eastAsia="宋体" w:cs="宋体"/>
                <w:sz w:val="24"/>
                <w:szCs w:val="24"/>
                <w:color w:val="000000"/>
                <w:b w:val="0"/>
                <w:i w:val="0"/>
              </w:rPr>
              <w:t>PDF第8页§3.2.2、§3.3.1；第9页§3.3.2。</w:t>
            </w:r>
          </w:p>
        </w:tc>
      </w:tr>
      <w:tr>
        <w:trPr>
          <w:cantSplit/>
        </w:trPr>
        <w:tc>
          <w:tcPr>
            <w:tcW w:type="dxa" w:w="6480"/>
            <w:vAlign w:val="top"/>
          </w:tcPr>
          <w:p>
            <w:pPr>
              <w:widowControl/>
              <w:spacing w:line="360" w:lineRule="auto" w:before="60" w:after="60"/>
              <w:ind w:firstLine="0" w:firstLineChars="0"/>
              <w:autoSpaceDE w:val="0"/>
              <w:autoSpaceDN w:val="0"/>
            </w:pPr>
            <w:r>
              <w:rPr>
                <w:rFonts w:ascii="宋体" w:hAnsi="宋体" w:eastAsia="宋体" w:cs="宋体"/>
                <w:sz w:val="24"/>
                <w:szCs w:val="24"/>
                <w:color w:val="000000"/>
                <w:b w:val="1"/>
                <w:i w:val="0"/>
              </w:rPr>
              <w:t>Oracle Database SQL Tuning Guide</w:t>
            </w:r>
            <w:r>
              <w:rPr>
                <w:rFonts w:ascii="宋体" w:hAnsi="宋体" w:eastAsia="宋体" w:cs="宋体"/>
                <w:sz w:val="24"/>
                <w:szCs w:val="24"/>
                <w:color w:val="000000"/>
                <w:b w:val="0"/>
                <w:i w:val="0"/>
              </w:rPr>
              <w:br/>
              <w:t>12c Release 1 (12.1), E49106-14, July 2017.</w:t>
            </w:r>
          </w:p>
        </w:tc>
        <w:tc>
          <w:tcPr>
            <w:tcW w:type="dxa" w:w="1728"/>
            <w:vAlign w:val="top"/>
          </w:tcPr>
          <w:p>
            <w:pPr>
              <w:widowControl/>
              <w:spacing w:line="360" w:lineRule="auto" w:before="60" w:after="60"/>
              <w:ind w:firstLine="0" w:firstLineChars="0"/>
              <w:autoSpaceDE w:val="0"/>
              <w:autoSpaceDN w:val="0"/>
            </w:pPr>
            <w:r>
              <w:rPr>
                <w:rFonts w:ascii="宋体" w:hAnsi="宋体" w:eastAsia="宋体" w:cs="宋体"/>
                <w:sz w:val="24"/>
                <w:szCs w:val="24"/>
                <w:color w:val="000000"/>
                <w:b w:val="0"/>
                <w:i w:val="0"/>
              </w:rPr>
              <w:t>2017-07</w:t>
              <w:br/>
              <w:t>所引版本</w:t>
            </w:r>
          </w:p>
        </w:tc>
        <w:tc>
          <w:tcPr>
            <w:tcW w:type="dxa" w:w="1440"/>
            <w:vAlign w:val="center"/>
          </w:tcPr>
          <w:p>
            <w:pPr>
              <w:widowControl/>
              <w:spacing w:line="360" w:lineRule="auto" w:before="60" w:after="60"/>
              <w:ind w:firstLine="0" w:firstLineChars="0"/>
              <w:autoSpaceDE w:val="0"/>
              <w:autoSpaceDN w:val="0"/>
              <w:jc w:val="center"/>
            </w:pPr>
            <w:hyperlink r:id="rId16">
              <w:r>
                <w:rPr>
                  <w:rFonts w:ascii="宋体" w:hAnsi="宋体" w:eastAsia="宋体" w:cs="宋体"/>
                  <w:sz w:val="24"/>
                  <w:szCs w:val="24"/>
                  <w:color w:val="000000"/>
                  <w:b w:val="0"/>
                  <w:i w:val="0"/>
                  <w:color w:val="315B78"/>
                  <w:u w:val="single"/>
                </w:rPr>
                <w:t>原文PDF</w:t>
              </w:r>
            </w:hyperlink>
          </w:p>
        </w:tc>
        <w:tc>
          <w:tcPr>
            <w:tcW w:type="dxa" w:w="3312"/>
            <w:vAlign w:val="top"/>
          </w:tcPr>
          <w:p>
            <w:pPr>
              <w:widowControl/>
              <w:spacing w:line="360" w:lineRule="auto" w:before="60" w:after="60"/>
              <w:ind w:firstLine="0" w:firstLineChars="0"/>
              <w:autoSpaceDE w:val="0"/>
              <w:autoSpaceDN w:val="0"/>
            </w:pPr>
            <w:r>
              <w:rPr>
                <w:rFonts w:ascii="宋体" w:hAnsi="宋体" w:eastAsia="宋体" w:cs="宋体"/>
                <w:sz w:val="24"/>
                <w:szCs w:val="24"/>
                <w:color w:val="000000"/>
                <w:b w:val="0"/>
                <w:i w:val="0"/>
              </w:rPr>
              <w:t>§4.4.1.2：PDF第74页／书内4-14；§4.4.2.2.1：PDF第81–82页／书内4-21至4-22；§10.4.2–10.4.2.2：PDF第286–290页／书内10-18至10-22。</w:t>
            </w:r>
          </w:p>
        </w:tc>
      </w:tr>
      <w:tr>
        <w:trPr>
          <w:cantSplit/>
        </w:trPr>
        <w:tc>
          <w:tcPr>
            <w:tcW w:type="dxa" w:w="6480"/>
            <w:vAlign w:val="top"/>
          </w:tcPr>
          <w:p>
            <w:pPr>
              <w:widowControl/>
              <w:spacing w:line="360" w:lineRule="auto" w:before="60" w:after="60"/>
              <w:ind w:firstLine="0" w:firstLineChars="0"/>
              <w:autoSpaceDE w:val="0"/>
              <w:autoSpaceDN w:val="0"/>
            </w:pPr>
            <w:r>
              <w:rPr>
                <w:rFonts w:ascii="宋体" w:hAnsi="宋体" w:eastAsia="宋体" w:cs="宋体"/>
                <w:sz w:val="24"/>
                <w:szCs w:val="24"/>
                <w:color w:val="000000"/>
                <w:b w:val="1"/>
                <w:i w:val="0"/>
              </w:rPr>
              <w:t>Query Progress Estimation</w:t>
            </w:r>
            <w:r>
              <w:rPr>
                <w:rFonts w:ascii="宋体" w:hAnsi="宋体" w:eastAsia="宋体" w:cs="宋体"/>
                <w:sz w:val="24"/>
                <w:szCs w:val="24"/>
                <w:color w:val="000000"/>
                <w:b w:val="0"/>
                <w:i w:val="0"/>
              </w:rPr>
              <w:br/>
              <w:t>United States (US): US20050222965A1</w:t>
            </w:r>
          </w:p>
        </w:tc>
        <w:tc>
          <w:tcPr>
            <w:tcW w:type="dxa" w:w="1728"/>
            <w:vAlign w:val="top"/>
          </w:tcPr>
          <w:p>
            <w:pPr>
              <w:widowControl/>
              <w:spacing w:line="360" w:lineRule="auto" w:before="60" w:after="60"/>
              <w:ind w:firstLine="0" w:firstLineChars="0"/>
              <w:autoSpaceDE w:val="0"/>
              <w:autoSpaceDN w:val="0"/>
            </w:pPr>
            <w:r>
              <w:rPr>
                <w:rFonts w:ascii="宋体" w:hAnsi="宋体" w:eastAsia="宋体" w:cs="宋体"/>
                <w:sz w:val="24"/>
                <w:szCs w:val="24"/>
                <w:color w:val="000000"/>
                <w:b w:val="0"/>
                <w:i w:val="0"/>
              </w:rPr>
              <w:t>2005-10</w:t>
            </w:r>
          </w:p>
        </w:tc>
        <w:tc>
          <w:tcPr>
            <w:tcW w:type="dxa" w:w="1440"/>
            <w:vAlign w:val="center"/>
          </w:tcPr>
          <w:p>
            <w:pPr>
              <w:widowControl/>
              <w:spacing w:line="360" w:lineRule="auto" w:before="60" w:after="60"/>
              <w:ind w:firstLine="0" w:firstLineChars="0"/>
              <w:autoSpaceDE w:val="0"/>
              <w:autoSpaceDN w:val="0"/>
              <w:jc w:val="center"/>
            </w:pPr>
            <w:hyperlink r:id="rId17">
              <w:r>
                <w:rPr>
                  <w:rFonts w:ascii="宋体" w:hAnsi="宋体" w:eastAsia="宋体" w:cs="宋体"/>
                  <w:sz w:val="24"/>
                  <w:szCs w:val="24"/>
                  <w:color w:val="000000"/>
                  <w:b w:val="0"/>
                  <w:i w:val="0"/>
                  <w:color w:val="315B78"/>
                  <w:u w:val="single"/>
                </w:rPr>
                <w:t>原文PDF</w:t>
              </w:r>
            </w:hyperlink>
          </w:p>
        </w:tc>
        <w:tc>
          <w:tcPr>
            <w:tcW w:type="dxa" w:w="3312"/>
            <w:vAlign w:val="top"/>
          </w:tcPr>
          <w:p>
            <w:pPr>
              <w:widowControl/>
              <w:spacing w:line="360" w:lineRule="auto" w:before="60" w:after="60"/>
              <w:ind w:firstLine="0" w:firstLineChars="0"/>
              <w:autoSpaceDE w:val="0"/>
              <w:autoSpaceDN w:val="0"/>
            </w:pPr>
            <w:r>
              <w:rPr>
                <w:rFonts w:ascii="宋体" w:hAnsi="宋体" w:eastAsia="宋体" w:cs="宋体"/>
                <w:sz w:val="24"/>
                <w:szCs w:val="24"/>
                <w:color w:val="000000"/>
                <w:b w:val="0"/>
                <w:i w:val="0"/>
              </w:rPr>
              <w:t>PDF第19–20页；第12页图12。</w:t>
            </w:r>
          </w:p>
        </w:tc>
      </w:tr>
      <w:tr>
        <w:trPr>
          <w:cantSplit/>
        </w:trPr>
        <w:tc>
          <w:tcPr>
            <w:tcW w:type="dxa" w:w="6480"/>
            <w:vAlign w:val="top"/>
          </w:tcPr>
          <w:p>
            <w:pPr>
              <w:widowControl/>
              <w:spacing w:line="360" w:lineRule="auto" w:before="60" w:after="60"/>
              <w:ind w:firstLine="0" w:firstLineChars="0"/>
              <w:autoSpaceDE w:val="0"/>
              <w:autoSpaceDN w:val="0"/>
            </w:pPr>
            <w:r>
              <w:rPr>
                <w:rFonts w:ascii="宋体" w:hAnsi="宋体" w:eastAsia="宋体" w:cs="宋体"/>
                <w:sz w:val="24"/>
                <w:szCs w:val="24"/>
                <w:color w:val="000000"/>
                <w:b w:val="1"/>
                <w:i w:val="0"/>
              </w:rPr>
              <w:t>Estimating Progress of Execution for SQL Queries</w:t>
            </w:r>
            <w:r>
              <w:rPr>
                <w:rFonts w:ascii="宋体" w:hAnsi="宋体" w:eastAsia="宋体" w:cs="宋体"/>
                <w:sz w:val="24"/>
                <w:szCs w:val="24"/>
                <w:color w:val="000000"/>
                <w:b w:val="0"/>
                <w:i w:val="0"/>
              </w:rPr>
              <w:br/>
              <w:t>Proceedings of the 2004 ACM SIGMOD International Conference on Management of Data, pp.803–814.</w:t>
            </w:r>
          </w:p>
        </w:tc>
        <w:tc>
          <w:tcPr>
            <w:tcW w:type="dxa" w:w="1728"/>
            <w:vAlign w:val="top"/>
          </w:tcPr>
          <w:p>
            <w:pPr>
              <w:widowControl/>
              <w:spacing w:line="360" w:lineRule="auto" w:before="60" w:after="60"/>
              <w:ind w:firstLine="0" w:firstLineChars="0"/>
              <w:autoSpaceDE w:val="0"/>
              <w:autoSpaceDN w:val="0"/>
            </w:pPr>
            <w:r>
              <w:rPr>
                <w:rFonts w:ascii="宋体" w:hAnsi="宋体" w:eastAsia="宋体" w:cs="宋体"/>
                <w:sz w:val="24"/>
                <w:szCs w:val="24"/>
                <w:color w:val="000000"/>
                <w:b w:val="0"/>
                <w:i w:val="0"/>
              </w:rPr>
              <w:t>2004-06-13</w:t>
            </w:r>
          </w:p>
        </w:tc>
        <w:tc>
          <w:tcPr>
            <w:tcW w:type="dxa" w:w="1440"/>
            <w:vAlign w:val="center"/>
          </w:tcPr>
          <w:p>
            <w:pPr>
              <w:widowControl/>
              <w:spacing w:line="360" w:lineRule="auto" w:before="60" w:after="60"/>
              <w:ind w:firstLine="0" w:firstLineChars="0"/>
              <w:autoSpaceDE w:val="0"/>
              <w:autoSpaceDN w:val="0"/>
              <w:jc w:val="center"/>
            </w:pPr>
            <w:hyperlink r:id="rId18">
              <w:r>
                <w:rPr>
                  <w:rFonts w:ascii="宋体" w:hAnsi="宋体" w:eastAsia="宋体" w:cs="宋体"/>
                  <w:sz w:val="24"/>
                  <w:szCs w:val="24"/>
                  <w:color w:val="000000"/>
                  <w:b w:val="0"/>
                  <w:i w:val="0"/>
                  <w:color w:val="315B78"/>
                  <w:u w:val="single"/>
                </w:rPr>
                <w:t>原文PDF</w:t>
              </w:r>
            </w:hyperlink>
          </w:p>
        </w:tc>
        <w:tc>
          <w:tcPr>
            <w:tcW w:type="dxa" w:w="3312"/>
            <w:vAlign w:val="top"/>
          </w:tcPr>
          <w:p>
            <w:pPr>
              <w:widowControl/>
              <w:spacing w:line="360" w:lineRule="auto" w:before="60" w:after="60"/>
              <w:ind w:firstLine="0" w:firstLineChars="0"/>
              <w:autoSpaceDE w:val="0"/>
              <w:autoSpaceDN w:val="0"/>
            </w:pPr>
            <w:r>
              <w:rPr>
                <w:rFonts w:ascii="宋体" w:hAnsi="宋体" w:eastAsia="宋体" w:cs="宋体"/>
                <w:sz w:val="24"/>
                <w:szCs w:val="24"/>
                <w:color w:val="000000"/>
                <w:b w:val="0"/>
                <w:i w:val="0"/>
              </w:rPr>
              <w:t>PDF第5–6页§4.1–4.2；第12页Appendix B。</w:t>
            </w:r>
          </w:p>
        </w:tc>
      </w:tr>
      <w:tr>
        <w:trPr>
          <w:cantSplit/>
        </w:trPr>
        <w:tc>
          <w:tcPr>
            <w:tcW w:type="dxa" w:w="6480"/>
            <w:vAlign w:val="top"/>
          </w:tcPr>
          <w:p>
            <w:pPr>
              <w:widowControl/>
              <w:spacing w:line="360" w:lineRule="auto" w:before="60" w:after="60"/>
              <w:ind w:firstLine="0" w:firstLineChars="0"/>
              <w:autoSpaceDE w:val="0"/>
              <w:autoSpaceDN w:val="0"/>
            </w:pPr>
            <w:r>
              <w:rPr>
                <w:rFonts w:ascii="宋体" w:hAnsi="宋体" w:eastAsia="宋体" w:cs="宋体"/>
                <w:sz w:val="24"/>
                <w:szCs w:val="24"/>
                <w:color w:val="000000"/>
                <w:b w:val="1"/>
                <w:i w:val="0"/>
              </w:rPr>
              <w:t>Operator and Query Progress Estimation in Microsoft SQL Server Live Query Statistics</w:t>
            </w:r>
            <w:r>
              <w:rPr>
                <w:rFonts w:ascii="宋体" w:hAnsi="宋体" w:eastAsia="宋体" w:cs="宋体"/>
                <w:sz w:val="24"/>
                <w:szCs w:val="24"/>
                <w:color w:val="000000"/>
                <w:b w:val="0"/>
                <w:i w:val="0"/>
              </w:rPr>
              <w:br/>
              <w:t>Proceedings of the 2016 International Conference on Management of Data (SIGMOD2016), pp.1753–1764.</w:t>
            </w:r>
          </w:p>
        </w:tc>
        <w:tc>
          <w:tcPr>
            <w:tcW w:type="dxa" w:w="1728"/>
            <w:vAlign w:val="top"/>
          </w:tcPr>
          <w:p>
            <w:pPr>
              <w:widowControl/>
              <w:spacing w:line="360" w:lineRule="auto" w:before="60" w:after="60"/>
              <w:ind w:firstLine="0" w:firstLineChars="0"/>
              <w:autoSpaceDE w:val="0"/>
              <w:autoSpaceDN w:val="0"/>
            </w:pPr>
            <w:r>
              <w:rPr>
                <w:rFonts w:ascii="宋体" w:hAnsi="宋体" w:eastAsia="宋体" w:cs="宋体"/>
                <w:sz w:val="24"/>
                <w:szCs w:val="24"/>
                <w:color w:val="000000"/>
                <w:b w:val="0"/>
                <w:i w:val="0"/>
              </w:rPr>
              <w:t>2016-06-26</w:t>
            </w:r>
          </w:p>
        </w:tc>
        <w:tc>
          <w:tcPr>
            <w:tcW w:type="dxa" w:w="1440"/>
            <w:vAlign w:val="center"/>
          </w:tcPr>
          <w:p>
            <w:pPr>
              <w:widowControl/>
              <w:spacing w:line="360" w:lineRule="auto" w:before="60" w:after="60"/>
              <w:ind w:firstLine="0" w:firstLineChars="0"/>
              <w:autoSpaceDE w:val="0"/>
              <w:autoSpaceDN w:val="0"/>
              <w:jc w:val="center"/>
            </w:pPr>
            <w:hyperlink r:id="rId19">
              <w:r>
                <w:rPr>
                  <w:rFonts w:ascii="宋体" w:hAnsi="宋体" w:eastAsia="宋体" w:cs="宋体"/>
                  <w:sz w:val="24"/>
                  <w:szCs w:val="24"/>
                  <w:color w:val="000000"/>
                  <w:b w:val="0"/>
                  <w:i w:val="0"/>
                  <w:color w:val="315B78"/>
                  <w:u w:val="single"/>
                </w:rPr>
                <w:t>原文PDF</w:t>
              </w:r>
            </w:hyperlink>
          </w:p>
        </w:tc>
        <w:tc>
          <w:tcPr>
            <w:tcW w:type="dxa" w:w="3312"/>
            <w:vAlign w:val="top"/>
          </w:tcPr>
          <w:p>
            <w:pPr>
              <w:widowControl/>
              <w:spacing w:line="360" w:lineRule="auto" w:before="60" w:after="60"/>
              <w:ind w:firstLine="0" w:firstLineChars="0"/>
              <w:autoSpaceDE w:val="0"/>
              <w:autoSpaceDN w:val="0"/>
            </w:pPr>
            <w:r>
              <w:rPr>
                <w:rFonts w:ascii="宋体" w:hAnsi="宋体" w:eastAsia="宋体" w:cs="宋体"/>
                <w:sz w:val="24"/>
                <w:szCs w:val="24"/>
                <w:color w:val="000000"/>
                <w:b w:val="0"/>
                <w:i w:val="0"/>
              </w:rPr>
              <w:t>PDF第6页§4.2；第12页Appendix A；第11页参考文献[7]。</w:t>
            </w:r>
          </w:p>
        </w:tc>
      </w:tr>
      <w:tr>
        <w:trPr>
          <w:cantSplit/>
        </w:trPr>
        <w:tc>
          <w:tcPr>
            <w:tcW w:type="dxa" w:w="6480"/>
            <w:vAlign w:val="top"/>
          </w:tcPr>
          <w:p>
            <w:pPr>
              <w:widowControl/>
              <w:spacing w:line="360" w:lineRule="auto" w:before="60" w:after="60"/>
              <w:ind w:firstLine="0" w:firstLineChars="0"/>
              <w:autoSpaceDE w:val="0"/>
              <w:autoSpaceDN w:val="0"/>
            </w:pPr>
            <w:r>
              <w:rPr>
                <w:rFonts w:ascii="宋体" w:hAnsi="宋体" w:eastAsia="宋体" w:cs="宋体"/>
                <w:sz w:val="24"/>
                <w:szCs w:val="24"/>
                <w:color w:val="000000"/>
                <w:b w:val="1"/>
                <w:i w:val="0"/>
              </w:rPr>
              <w:t>Live query statistics</w:t>
            </w:r>
            <w:r>
              <w:rPr>
                <w:rFonts w:ascii="宋体" w:hAnsi="宋体" w:eastAsia="宋体" w:cs="宋体"/>
                <w:sz w:val="24"/>
                <w:szCs w:val="24"/>
                <w:color w:val="000000"/>
                <w:b w:val="0"/>
                <w:i w:val="0"/>
              </w:rPr>
              <w:br/>
              <w:t>Microsoft Learn, SQL Server documentation, view=sql-server-ver17 (online).</w:t>
            </w:r>
          </w:p>
        </w:tc>
        <w:tc>
          <w:tcPr>
            <w:tcW w:type="dxa" w:w="1728"/>
            <w:vAlign w:val="top"/>
          </w:tcPr>
          <w:p>
            <w:pPr>
              <w:widowControl/>
              <w:spacing w:line="360" w:lineRule="auto" w:before="60" w:after="60"/>
              <w:ind w:firstLine="0" w:firstLineChars="0"/>
              <w:autoSpaceDE w:val="0"/>
              <w:autoSpaceDN w:val="0"/>
            </w:pPr>
            <w:r>
              <w:rPr>
                <w:rFonts w:ascii="宋体" w:hAnsi="宋体" w:eastAsia="宋体" w:cs="宋体"/>
                <w:sz w:val="24"/>
                <w:szCs w:val="24"/>
                <w:color w:val="000000"/>
                <w:b w:val="0"/>
                <w:i w:val="0"/>
              </w:rPr>
              <w:t>首次公开日期</w:t>
              <w:br/>
              <w:t>未载明</w:t>
            </w:r>
          </w:p>
        </w:tc>
        <w:tc>
          <w:tcPr>
            <w:tcW w:type="dxa" w:w="1440"/>
            <w:vAlign w:val="center"/>
          </w:tcPr>
          <w:p>
            <w:pPr>
              <w:widowControl/>
              <w:spacing w:line="360" w:lineRule="auto" w:before="60" w:after="60"/>
              <w:ind w:firstLine="0" w:firstLineChars="0"/>
              <w:autoSpaceDE w:val="0"/>
              <w:autoSpaceDN w:val="0"/>
              <w:jc w:val="center"/>
            </w:pPr>
            <w:hyperlink r:id="rId20">
              <w:r>
                <w:rPr>
                  <w:rFonts w:ascii="宋体" w:hAnsi="宋体" w:eastAsia="宋体" w:cs="宋体"/>
                  <w:sz w:val="24"/>
                  <w:szCs w:val="24"/>
                  <w:color w:val="000000"/>
                  <w:b w:val="0"/>
                  <w:i w:val="0"/>
                  <w:color w:val="315B78"/>
                  <w:u w:val="single"/>
                </w:rPr>
                <w:t>官方文档</w:t>
              </w:r>
            </w:hyperlink>
          </w:p>
        </w:tc>
        <w:tc>
          <w:tcPr>
            <w:tcW w:type="dxa" w:w="3312"/>
            <w:vAlign w:val="top"/>
          </w:tcPr>
          <w:p>
            <w:pPr>
              <w:widowControl/>
              <w:spacing w:line="360" w:lineRule="auto" w:before="60" w:after="60"/>
              <w:ind w:firstLine="0" w:firstLineChars="0"/>
              <w:autoSpaceDE w:val="0"/>
              <w:autoSpaceDN w:val="0"/>
            </w:pPr>
            <w:r>
              <w:rPr>
                <w:rFonts w:ascii="宋体" w:hAnsi="宋体" w:eastAsia="宋体" w:cs="宋体"/>
                <w:sz w:val="24"/>
                <w:szCs w:val="24"/>
                <w:color w:val="000000"/>
                <w:b w:val="0"/>
                <w:i w:val="0"/>
              </w:rPr>
              <w:t>页面引言；“View live query statistics for one query”；“View live query statistics for any query”；“Remarks”。</w:t>
            </w:r>
          </w:p>
        </w:tc>
      </w:tr>
      <w:tr>
        <w:trPr>
          <w:cantSplit/>
        </w:trPr>
        <w:tc>
          <w:tcPr>
            <w:tcW w:type="dxa" w:w="6480"/>
            <w:vAlign w:val="top"/>
          </w:tcPr>
          <w:p>
            <w:pPr>
              <w:widowControl/>
              <w:spacing w:line="360" w:lineRule="auto" w:before="60" w:after="60"/>
              <w:ind w:firstLine="0" w:firstLineChars="0"/>
              <w:autoSpaceDE w:val="0"/>
              <w:autoSpaceDN w:val="0"/>
            </w:pPr>
            <w:r>
              <w:rPr>
                <w:rFonts w:ascii="宋体" w:hAnsi="宋体" w:eastAsia="宋体" w:cs="宋体"/>
                <w:sz w:val="24"/>
                <w:szCs w:val="24"/>
                <w:color w:val="000000"/>
                <w:b w:val="1"/>
                <w:i w:val="0"/>
              </w:rPr>
              <w:t>sys.dm_exec_query_profiles (Transact-SQL)</w:t>
            </w:r>
            <w:r>
              <w:rPr>
                <w:rFonts w:ascii="宋体" w:hAnsi="宋体" w:eastAsia="宋体" w:cs="宋体"/>
                <w:sz w:val="24"/>
                <w:szCs w:val="24"/>
                <w:color w:val="000000"/>
                <w:b w:val="0"/>
                <w:i w:val="0"/>
              </w:rPr>
              <w:br/>
              <w:t>Microsoft Learn, SQL Server documentation, view=sql-server-ver17 (online).</w:t>
            </w:r>
          </w:p>
        </w:tc>
        <w:tc>
          <w:tcPr>
            <w:tcW w:type="dxa" w:w="1728"/>
            <w:vAlign w:val="top"/>
          </w:tcPr>
          <w:p>
            <w:pPr>
              <w:widowControl/>
              <w:spacing w:line="360" w:lineRule="auto" w:before="60" w:after="60"/>
              <w:ind w:firstLine="0" w:firstLineChars="0"/>
              <w:autoSpaceDE w:val="0"/>
              <w:autoSpaceDN w:val="0"/>
            </w:pPr>
            <w:r>
              <w:rPr>
                <w:rFonts w:ascii="宋体" w:hAnsi="宋体" w:eastAsia="宋体" w:cs="宋体"/>
                <w:sz w:val="24"/>
                <w:szCs w:val="24"/>
                <w:color w:val="000000"/>
                <w:b w:val="0"/>
                <w:i w:val="0"/>
              </w:rPr>
              <w:t>首次公开日期</w:t>
              <w:br/>
              <w:t>未载明</w:t>
            </w:r>
          </w:p>
        </w:tc>
        <w:tc>
          <w:tcPr>
            <w:tcW w:type="dxa" w:w="1440"/>
            <w:vAlign w:val="center"/>
          </w:tcPr>
          <w:p>
            <w:pPr>
              <w:widowControl/>
              <w:spacing w:line="360" w:lineRule="auto" w:before="60" w:after="60"/>
              <w:ind w:firstLine="0" w:firstLineChars="0"/>
              <w:autoSpaceDE w:val="0"/>
              <w:autoSpaceDN w:val="0"/>
              <w:jc w:val="center"/>
            </w:pPr>
            <w:hyperlink r:id="rId21">
              <w:r>
                <w:rPr>
                  <w:rFonts w:ascii="宋体" w:hAnsi="宋体" w:eastAsia="宋体" w:cs="宋体"/>
                  <w:sz w:val="24"/>
                  <w:szCs w:val="24"/>
                  <w:color w:val="000000"/>
                  <w:b w:val="0"/>
                  <w:i w:val="0"/>
                  <w:color w:val="315B78"/>
                  <w:u w:val="single"/>
                </w:rPr>
                <w:t>官方文档</w:t>
              </w:r>
            </w:hyperlink>
          </w:p>
        </w:tc>
        <w:tc>
          <w:tcPr>
            <w:tcW w:type="dxa" w:w="3312"/>
            <w:vAlign w:val="top"/>
          </w:tcPr>
          <w:p>
            <w:pPr>
              <w:widowControl/>
              <w:spacing w:line="360" w:lineRule="auto" w:before="60" w:after="60"/>
              <w:ind w:firstLine="0" w:firstLineChars="0"/>
              <w:autoSpaceDE w:val="0"/>
              <w:autoSpaceDN w:val="0"/>
            </w:pPr>
            <w:r>
              <w:rPr>
                <w:rFonts w:ascii="宋体" w:hAnsi="宋体" w:eastAsia="宋体" w:cs="宋体"/>
                <w:sz w:val="24"/>
                <w:szCs w:val="24"/>
                <w:color w:val="000000"/>
                <w:b w:val="0"/>
                <w:i w:val="0"/>
              </w:rPr>
              <w:t>“Table Returned”；“General Remarks”；“Examples”。</w:t>
            </w:r>
          </w:p>
        </w:tc>
      </w:tr>
      <w:tr>
        <w:trPr>
          <w:cantSplit/>
        </w:trPr>
        <w:tc>
          <w:tcPr>
            <w:tcW w:type="dxa" w:w="6480"/>
            <w:vAlign w:val="top"/>
          </w:tcPr>
          <w:p>
            <w:pPr>
              <w:widowControl/>
              <w:spacing w:line="360" w:lineRule="auto" w:before="60" w:after="60"/>
              <w:ind w:firstLine="0" w:firstLineChars="0"/>
              <w:autoSpaceDE w:val="0"/>
              <w:autoSpaceDN w:val="0"/>
            </w:pPr>
            <w:r>
              <w:rPr>
                <w:rFonts w:ascii="宋体" w:hAnsi="宋体" w:eastAsia="宋体" w:cs="宋体"/>
                <w:sz w:val="24"/>
                <w:szCs w:val="24"/>
                <w:color w:val="000000"/>
                <w:b w:val="1"/>
                <w:i w:val="0"/>
              </w:rPr>
              <w:t>Logical and physical showplan operator reference</w:t>
            </w:r>
            <w:r>
              <w:rPr>
                <w:rFonts w:ascii="宋体" w:hAnsi="宋体" w:eastAsia="宋体" w:cs="宋体"/>
                <w:sz w:val="24"/>
                <w:szCs w:val="24"/>
                <w:color w:val="000000"/>
                <w:b w:val="0"/>
                <w:i w:val="0"/>
              </w:rPr>
              <w:br/>
              <w:t>Microsoft Learn, SQL Server documentation, view=sql-server-ver17 (online).</w:t>
            </w:r>
          </w:p>
        </w:tc>
        <w:tc>
          <w:tcPr>
            <w:tcW w:type="dxa" w:w="1728"/>
            <w:vAlign w:val="top"/>
          </w:tcPr>
          <w:p>
            <w:pPr>
              <w:widowControl/>
              <w:spacing w:line="360" w:lineRule="auto" w:before="60" w:after="60"/>
              <w:ind w:firstLine="0" w:firstLineChars="0"/>
              <w:autoSpaceDE w:val="0"/>
              <w:autoSpaceDN w:val="0"/>
            </w:pPr>
            <w:r>
              <w:rPr>
                <w:rFonts w:ascii="宋体" w:hAnsi="宋体" w:eastAsia="宋体" w:cs="宋体"/>
                <w:sz w:val="24"/>
                <w:szCs w:val="24"/>
                <w:color w:val="000000"/>
                <w:b w:val="0"/>
                <w:i w:val="0"/>
              </w:rPr>
              <w:t>首次公开日期</w:t>
              <w:br/>
              <w:t>未载明</w:t>
            </w:r>
          </w:p>
        </w:tc>
        <w:tc>
          <w:tcPr>
            <w:tcW w:type="dxa" w:w="1440"/>
            <w:vAlign w:val="center"/>
          </w:tcPr>
          <w:p>
            <w:pPr>
              <w:widowControl/>
              <w:spacing w:line="360" w:lineRule="auto" w:before="60" w:after="60"/>
              <w:ind w:firstLine="0" w:firstLineChars="0"/>
              <w:autoSpaceDE w:val="0"/>
              <w:autoSpaceDN w:val="0"/>
              <w:jc w:val="center"/>
            </w:pPr>
            <w:hyperlink r:id="rId22">
              <w:r>
                <w:rPr>
                  <w:rFonts w:ascii="宋体" w:hAnsi="宋体" w:eastAsia="宋体" w:cs="宋体"/>
                  <w:sz w:val="24"/>
                  <w:szCs w:val="24"/>
                  <w:color w:val="000000"/>
                  <w:b w:val="0"/>
                  <w:i w:val="0"/>
                  <w:color w:val="315B78"/>
                  <w:u w:val="single"/>
                </w:rPr>
                <w:t>官方文档</w:t>
              </w:r>
            </w:hyperlink>
          </w:p>
        </w:tc>
        <w:tc>
          <w:tcPr>
            <w:tcW w:type="dxa" w:w="3312"/>
            <w:vAlign w:val="top"/>
          </w:tcPr>
          <w:p>
            <w:pPr>
              <w:widowControl/>
              <w:spacing w:line="360" w:lineRule="auto" w:before="60" w:after="60"/>
              <w:ind w:firstLine="0" w:firstLineChars="0"/>
              <w:autoSpaceDE w:val="0"/>
              <w:autoSpaceDN w:val="0"/>
            </w:pPr>
            <w:r>
              <w:rPr>
                <w:rFonts w:ascii="宋体" w:hAnsi="宋体" w:eastAsia="宋体" w:cs="宋体"/>
                <w:sz w:val="24"/>
                <w:szCs w:val="24"/>
                <w:color w:val="000000"/>
                <w:b w:val="0"/>
                <w:i w:val="0"/>
              </w:rPr>
              <w:t>“Physical operators”；“Rebinds, rewinds, and end-of-scans”；“How to read an execution plan”。</w:t>
            </w:r>
          </w:p>
        </w:tc>
      </w:tr>
    </w:tbl>
    <w:sectPr w:rsidR="00FC693F" w:rsidRPr="0006063C" w:rsidSect="00034616">
      <w:footerReference w:type="default" r:id="rId9"/>
      <w:pgSz w:w="16838" w:h="11906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宋体">
    <w:altName w:val="Songti SC"/>
    <w:family w:val="roman"/>
    <w:charset w:val="86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spacing w:line="360" w:lineRule="auto" w:before="0" w:after="0"/>
      <w:ind w:firstLine="0" w:firstLineChars="0"/>
      <w:autoSpaceDE w:val="0"/>
      <w:autoSpaceDN w:val="0"/>
      <w:jc w:val="center"/>
    </w:pPr>
    <w:fldSimple w:instr="PAGE">
      <w:r>
        <w:rPr>
          <w:rFonts w:ascii="宋体" w:hAnsi="宋体" w:eastAsia="宋体" w:cs="宋体"/>
          <w:sz w:val="20"/>
          <w:szCs w:val="20"/>
          <w:color w:val="000000"/>
          <w:b w:val="0"/>
          <w:i w:val="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宋体" w:hAnsi="宋体" w:eastAsia="宋体" w:cs="宋体"/>
      <w:color w:val="000000"/>
      <w:sz w:val="24"/>
      <w:szCs w:val="24"/>
      <w:b w:val="0"/>
      <w:i w:val="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360" w:lineRule="auto"/>
      <w:outlineLvl w:val="0"/>
    </w:pPr>
    <w:rPr>
      <w:rFonts w:ascii="宋体" w:hAnsi="宋体" w:eastAsia="宋体" w:cs="宋体"/>
      <w:b/>
      <w:bCs/>
      <w:color w:val="000000"/>
      <w:sz w:val="24"/>
      <w:szCs w:val="24"/>
      <w:b w:val="0"/>
      <w:i w:val="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360" w:lineRule="auto"/>
      <w:outlineLvl w:val="1"/>
    </w:pPr>
    <w:rPr>
      <w:rFonts w:ascii="宋体" w:hAnsi="宋体" w:eastAsia="宋体" w:cs="宋体"/>
      <w:b/>
      <w:bCs/>
      <w:color w:val="000000"/>
      <w:sz w:val="24"/>
      <w:szCs w:val="24"/>
      <w:b w:val="0"/>
      <w:i w:val="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360" w:lineRule="auto"/>
      <w:outlineLvl w:val="2"/>
    </w:pPr>
    <w:rPr>
      <w:rFonts w:ascii="宋体" w:hAnsi="宋体" w:eastAsia="宋体" w:cs="宋体"/>
      <w:b/>
      <w:bCs/>
      <w:color w:val="000000"/>
      <w:sz w:val="24"/>
      <w:szCs w:val="24"/>
      <w:b w:val="0"/>
      <w:i w:val="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0" w:line="360" w:lineRule="auto"/>
      <w:contextualSpacing/>
    </w:pPr>
    <w:rPr>
      <w:rFonts w:ascii="宋体" w:hAnsi="宋体" w:eastAsia="宋体" w:cs="宋体"/>
      <w:color w:val="000000"/>
      <w:spacing w:val="5"/>
      <w:kern w:val="28"/>
      <w:sz w:val="24"/>
      <w:szCs w:val="24"/>
      <w:b w:val="0"/>
      <w:i w:val="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patentimages.storage.googleapis.com/98/17/13/f551757d85a3c6/US20080177722A1.pdf" TargetMode="External"/><Relationship Id="rId11" Type="http://schemas.openxmlformats.org/officeDocument/2006/relationships/hyperlink" Target="https://www.vldb.org/conf/2001/P019.pdf" TargetMode="External"/><Relationship Id="rId12" Type="http://schemas.openxmlformats.org/officeDocument/2006/relationships/hyperlink" Target="https://dsf.berkeley.edu/cs286/papers/robust-sigmod2004.pdf" TargetMode="External"/><Relationship Id="rId13" Type="http://schemas.openxmlformats.org/officeDocument/2006/relationships/hyperlink" Target="https://www.vldb.org/conf/2004/DEMP22.PDF" TargetMode="External"/><Relationship Id="rId14" Type="http://schemas.openxmlformats.org/officeDocument/2006/relationships/hyperlink" Target="https://patentimages.storage.googleapis.com/d6/b3/46/ea4d370f789666/US20170357692A1.pdf" TargetMode="External"/><Relationship Id="rId15" Type="http://schemas.openxmlformats.org/officeDocument/2006/relationships/hyperlink" Target="https://www.vldb.org/pvldb/vol10/p1813-zait.pdf" TargetMode="External"/><Relationship Id="rId16" Type="http://schemas.openxmlformats.org/officeDocument/2006/relationships/hyperlink" Target="https://docs.oracle.com/database/121/TGSQL/E49106-14.pdf" TargetMode="External"/><Relationship Id="rId17" Type="http://schemas.openxmlformats.org/officeDocument/2006/relationships/hyperlink" Target="https://patentimages.storage.googleapis.com/4e/ca/94/ff92902d607fdb/US20050222965A1.pdf" TargetMode="External"/><Relationship Id="rId18" Type="http://schemas.openxmlformats.org/officeDocument/2006/relationships/hyperlink" Target="https://www.microsoft.com/en-us/research/wp-content/uploads/2016/02/progress-1.pdf" TargetMode="External"/><Relationship Id="rId19" Type="http://schemas.openxmlformats.org/officeDocument/2006/relationships/hyperlink" Target="https://www.microsoft.com/en-us/research/wp-content/uploads/2016/06/qprog.pdf" TargetMode="External"/><Relationship Id="rId20" Type="http://schemas.openxmlformats.org/officeDocument/2006/relationships/hyperlink" Target="https://learn.microsoft.com/en-us/sql/relational-databases/performance/live-query-statistics?view=sql-server-ver17" TargetMode="External"/><Relationship Id="rId21" Type="http://schemas.openxmlformats.org/officeDocument/2006/relationships/hyperlink" Target="https://learn.microsoft.com/en-us/sql/relational-databases/system-dynamic-management-objects/sys-dm-exec-query-profiles-transact-sql?view=sql-server-ver17" TargetMode="External"/><Relationship Id="rId22" Type="http://schemas.openxmlformats.org/officeDocument/2006/relationships/hyperlink" Target="https://learn.microsoft.com/en-us/sql/relational-databases/showplan-logical-and-physical-operators-reference?view=sql-server-ver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现有技术文献信息表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