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spacing w:line="360" w:lineRule="auto" w:before="0" w:after="240"/>
        <w:ind w:firstLine="0" w:firstLineChars="0"/>
        <w:autoSpaceDE w:val="0"/>
        <w:autoSpaceDN w:val="0"/>
        <w:jc w:val="center"/>
      </w:pPr>
      <w:r>
        <w:rPr>
          <w:rFonts w:ascii="宋体" w:hAnsi="宋体" w:eastAsia="宋体" w:cs="宋体"/>
          <w:sz w:val="32"/>
          <w:szCs w:val="32"/>
          <w:color w:val="000000"/>
          <w:b w:val="1"/>
          <w:i w:val="0"/>
        </w:rPr>
        <w:t>一种基于限时执行部分反馈的查询执行计划迭代优化方法</w:t>
      </w:r>
    </w:p>
    <w:p>
      <w:pPr>
        <w:pStyle w:val="Heading1"/>
        <w:keepNext/>
        <w:widowControl/>
        <w:spacing w:line="360" w:lineRule="auto" w:before="240" w:after="120"/>
        <w:ind w:firstLine="0" w:firstLineChars="0"/>
        <w:autoSpaceDE w:val="0"/>
        <w:autoSpaceDN w:val="0"/>
      </w:pPr>
      <w:r>
        <w:rPr>
          <w:rFonts w:ascii="宋体" w:hAnsi="宋体" w:eastAsia="宋体" w:cs="宋体"/>
          <w:sz w:val="28"/>
          <w:szCs w:val="28"/>
          <w:color w:val="000000"/>
          <w:b w:val="1"/>
          <w:i w:val="0"/>
        </w:rPr>
        <w:t>相关技术背景以及最接近的现有技术</w:t>
      </w:r>
    </w:p>
    <w:p>
      <w:pPr>
        <w:pStyle w:val="Heading2"/>
        <w:keepNext/>
        <w:widowControl/>
        <w:spacing w:line="360" w:lineRule="auto" w:before="240" w:after="120"/>
        <w:ind w:firstLine="0" w:firstLineChars="0"/>
        <w:autoSpaceDE w:val="0"/>
        <w:autoSpaceDN w:val="0"/>
      </w:pPr>
      <w:r>
        <w:rPr>
          <w:rFonts w:ascii="宋体" w:hAnsi="宋体" w:eastAsia="宋体" w:cs="宋体"/>
          <w:sz w:val="26"/>
          <w:szCs w:val="26"/>
          <w:color w:val="000000"/>
          <w:b w:val="1"/>
          <w:i w:val="0"/>
        </w:rPr>
        <w:t>背景技术</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数据库运维和自动调优平台通常需要在限定时间内，为一批慢SQL寻找运行更快的执行计划。基于执行反馈的调优工具逐轮生成并试运行候选计划，根据节点实际返回的行数修正后续规划输入，并通过完整运行时间比较候选性能。在顺序试运行的调优过程中，某个计划长时间未结束，会推迟该SQL后续候选的试运行。直接取消虽然能够结束等待，却可能中断</w:t>
      </w:r>
      <w:r>
        <w:rPr>
          <w:rFonts w:ascii="宋体" w:hAnsi="宋体" w:eastAsia="宋体" w:cs="宋体"/>
          <w:sz w:val="24"/>
          <w:szCs w:val="24"/>
          <w:color w:val="000000"/>
          <w:b w:val="0"/>
          <w:i w:val="0"/>
        </w:rPr>
        <w:t>EXPLAIN ANALYZE</w:t>
      </w:r>
      <w:r>
        <w:rPr>
          <w:rFonts w:ascii="宋体" w:hAnsi="宋体" w:eastAsia="宋体" w:cs="宋体"/>
          <w:sz w:val="24"/>
          <w:szCs w:val="24"/>
          <w:color w:val="000000"/>
          <w:b w:val="0"/>
          <w:i w:val="0"/>
        </w:rPr>
        <w:t>返回执行统计的过程；如果未提前保存，本轮已经取得的节点行数就无法用于后续调优。</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优化器根据扫描、过滤、连接等操作的估算输出行数，选择访问路径、连接顺序和连接方法。节点行数的估算误差可能影响上层节点的估算和计划选择。例如，连接结果被估算为几十行时，优化器可能将其作为嵌套循环连接（Nested Loop）的外侧输入；实际结果若达到数万行，内侧访问就会被反复调用，后续扫描、连接和排序的工作量也随之增加。执行反馈调优通过比较估算行数与实际行数，修正后续规划使用的基数值。</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同一SQL的不同轮次可以使用Rows Hint、Outline等不同规划输入，各轮分别创建物理执行计划和执行上下文。计划被取消时，虽然无法取得完整运行时间，此前产生的部分节点统计仍可能用于后续规划。</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从取消时取得的节点统计中生成反馈前，还需要核对行数的含义。有的节点已返回全部相关行数，有的只返回了一部分，有的尚未执行；多次调用的累计行数也不一定能与单次估算直接比较。因此，调优工具既要保存已有统计，也要判断这些统计能够作为精确行数、行数下界，还是不应使用。</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本说明书所称“部分反馈”，是指本轮候选计划尚未执行完毕时取得、且满足适用条件的节点统计。其中，已确认全部相关行数均已返回的节点可以提供精确行数；尚未返回全部结果，但已返回行数与估算行数能够在相同执行次数和汇总范围内比较、且满足本方案反馈条件的节点，可以提供行数下界。采集到部分统计并不表示这些统计均可用于修正基数。</w:t>
      </w:r>
    </w:p>
    <w:p>
      <w:pPr>
        <w:pStyle w:val="Heading2"/>
        <w:keepNext/>
        <w:widowControl/>
        <w:spacing w:line="360" w:lineRule="auto" w:before="240" w:after="120"/>
        <w:ind w:firstLine="0" w:firstLineChars="0"/>
        <w:autoSpaceDE w:val="0"/>
        <w:autoSpaceDN w:val="0"/>
      </w:pPr>
      <w:r>
        <w:rPr>
          <w:rFonts w:ascii="宋体" w:hAnsi="宋体" w:eastAsia="宋体" w:cs="宋体"/>
          <w:sz w:val="26"/>
          <w:szCs w:val="26"/>
          <w:color w:val="000000"/>
          <w:b w:val="1"/>
          <w:i w:val="0"/>
        </w:rPr>
        <w:t>与本发明相关的现有技术一：IBM</w:t>
      </w:r>
    </w:p>
    <w:p>
      <w:pPr>
        <w:pStyle w:val="Heading3"/>
        <w:keepNext/>
        <w:widowControl/>
        <w:spacing w:line="360" w:lineRule="auto" w:before="240" w:after="120"/>
        <w:ind w:firstLine="0" w:firstLineChars="0"/>
        <w:autoSpaceDE w:val="0"/>
        <w:autoSpaceDN w:val="0"/>
      </w:pPr>
      <w:r>
        <w:rPr>
          <w:rFonts w:ascii="宋体" w:hAnsi="宋体" w:eastAsia="宋体" w:cs="宋体"/>
          <w:sz w:val="24"/>
          <w:szCs w:val="24"/>
          <w:color w:val="000000"/>
          <w:b w:val="1"/>
          <w:i w:val="0"/>
        </w:rPr>
        <w:t>现有技术一的技术方案</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IBM的执行反馈研究包括两类处理：根据此前的执行结果改进后续查询，以及在当前查询执行期间重新优化计划。DB2的学习型优化器LEO在计划生成和执行过程中记录算子计数，查询完成后保存学习信息，用于改进后续查询的基数估计和计划选择。[R1]</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渐进式查询处理专利US7716215B2在执行计划中设置</w:t>
      </w:r>
      <w:r>
        <w:rPr>
          <w:rFonts w:ascii="宋体" w:hAnsi="宋体" w:eastAsia="宋体" w:cs="宋体"/>
          <w:sz w:val="24"/>
          <w:szCs w:val="24"/>
          <w:color w:val="000000"/>
          <w:b w:val="0"/>
          <w:i w:val="0"/>
        </w:rPr>
        <w:t>CHECK</w:t>
      </w:r>
      <w:r>
        <w:rPr>
          <w:rFonts w:ascii="宋体" w:hAnsi="宋体" w:eastAsia="宋体" w:cs="宋体"/>
          <w:sz w:val="24"/>
          <w:szCs w:val="24"/>
          <w:color w:val="000000"/>
          <w:b w:val="0"/>
          <w:i w:val="0"/>
        </w:rPr>
        <w:t>算子，将估算基数与执行中已处理的行数进行比较。权利要求1根据剩余执行时间阈值和估算误差阈值，决定是否暂停当前计划、重新优化并执行新计划。说明书还描述：如果已输出行数超过上界，可以在子数据流结束前确认偏差；如果要根据输出不足判断行数低于下界，则需要等子数据流返回EOF。该方案还可收集检查点或其他计划节点的基数统计。[R20]</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《Robust Query Processing through Progressive Optimization》详细介绍了上述渐进式查询优化（POP）方法，《Progressive Optimization in Action》展示了其Db2研究原型。CHECK触发重新优化后，系统将已形成的中间结果作为临时物化视图或物化查询表提供给优化器，同时提供实际基数。优化器比较“复用已有结果”和“重新计算结果”两类计划，按成本选择。复用时可以继续使用内存中已有的数据，不要求将全部中间结果写入磁盘。重新优化和新计划的执行都在同一事务中进行，以完成当前SQL。[R24][R25]</w:t>
      </w:r>
    </w:p>
    <w:p>
      <w:pPr>
        <w:pStyle w:val="Heading3"/>
        <w:keepNext/>
        <w:widowControl/>
        <w:spacing w:line="360" w:lineRule="auto" w:before="240" w:after="120"/>
        <w:ind w:firstLine="0" w:firstLineChars="0"/>
        <w:autoSpaceDE w:val="0"/>
        <w:autoSpaceDN w:val="0"/>
      </w:pPr>
      <w:r>
        <w:rPr>
          <w:rFonts w:ascii="宋体" w:hAnsi="宋体" w:eastAsia="宋体" w:cs="宋体"/>
          <w:sz w:val="24"/>
          <w:szCs w:val="24"/>
          <w:color w:val="000000"/>
          <w:b w:val="1"/>
          <w:i w:val="0"/>
        </w:rPr>
        <w:t>现有技术一与本发明的关系</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IBM POP由计划中的CHECK条件触发重新优化。优化器既利用实际基数，也可按成本选择复用已经物化的中间结果。本发明达到单轮执行期限时取消慢候选计划，并在执行器清理前保存节点行数和执行状态，供后续规划使用。[R20][R24][R25]</w:t>
      </w:r>
    </w:p>
    <w:p>
      <w:pPr>
        <w:pStyle w:val="Heading2"/>
        <w:keepNext/>
        <w:widowControl/>
        <w:spacing w:line="360" w:lineRule="auto" w:before="240" w:after="120"/>
        <w:ind w:firstLine="0" w:firstLineChars="0"/>
        <w:autoSpaceDE w:val="0"/>
        <w:autoSpaceDN w:val="0"/>
      </w:pPr>
      <w:r>
        <w:rPr>
          <w:rFonts w:ascii="宋体" w:hAnsi="宋体" w:eastAsia="宋体" w:cs="宋体"/>
          <w:sz w:val="26"/>
          <w:szCs w:val="26"/>
          <w:color w:val="000000"/>
          <w:b w:val="1"/>
          <w:i w:val="0"/>
        </w:rPr>
        <w:t>与本发明相关的现有技术二：Oracle</w:t>
      </w:r>
    </w:p>
    <w:p>
      <w:pPr>
        <w:pStyle w:val="Heading3"/>
        <w:keepNext/>
        <w:widowControl/>
        <w:spacing w:line="360" w:lineRule="auto" w:before="240" w:after="120"/>
        <w:ind w:firstLine="0" w:firstLineChars="0"/>
        <w:autoSpaceDE w:val="0"/>
        <w:autoSpaceDN w:val="0"/>
      </w:pPr>
      <w:r>
        <w:rPr>
          <w:rFonts w:ascii="宋体" w:hAnsi="宋体" w:eastAsia="宋体" w:cs="宋体"/>
          <w:sz w:val="24"/>
          <w:szCs w:val="24"/>
          <w:color w:val="000000"/>
          <w:b w:val="1"/>
          <w:i w:val="0"/>
        </w:rPr>
        <w:t>现有技术二的技术方案</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Oracle专利US11321317B2将执行统计用于当前查询的计划调整，以及后续查询的规划优化。在当前查询执行期间，自适应计划（Adaptive Plan）根据统计收集器取得的行数、选择率等信息，选择预先准备的子计划。执行中重新优化（In-Flight Reoptimization）则根据实际统计与编译期估算的差异，结合剩余操作和重新计算的成本，提前终止未完成计划并启动新计划。专利背景还讨论了用户或DBA终止运行过久的计划的情况。[R19]</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自动重新优化（Automatic Reoptimization）可以利用首次完整或部分执行取得的表、连接、分组和索引统计，改进同一或等价查询的后续执行。该专利的授权权利要求1还涉及选择保存某个操作的统计，根据数据库对象和操作判断其是否适用于后续非等价查询，再生成第二执行计划。[R19]</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Oracle产品手册对相关功能也有说明。自适应查询计划（Adaptive Query Plans）在当前执行期间收集行数，并选择预置子计划。统计反馈（Statistics Feedback）在执行结束时比较各操作的估算行数与实际行数，随后使用修正值改进规划。SQL计划指令（SQL Plan Directives）按查询表达式保存可复用信息，使不同SQL能够使用这些信息。[R8][R31][R32]</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2017年论文《Adaptive Statistics in Oracle 12c》进一步介绍了自适应统计和计划指令的生成、缓存及使用。第3.2.2节说明，系统根据历史运行信息，为优化期间执行的统计查询分配时间预算；到达期限后，停止该统计查询，并使用已经取得的部分结果。这里受限时控制的是用于估算基数的统计查询，Statistics Feedback手册所述流程则在主查询执行结束后处理节点统计。[R3][R31]</w:t>
      </w:r>
    </w:p>
    <w:p>
      <w:pPr>
        <w:pStyle w:val="Heading3"/>
        <w:keepNext/>
        <w:widowControl/>
        <w:spacing w:line="360" w:lineRule="auto" w:before="240" w:after="120"/>
        <w:ind w:firstLine="0" w:firstLineChars="0"/>
        <w:autoSpaceDE w:val="0"/>
        <w:autoSpaceDN w:val="0"/>
      </w:pPr>
      <w:r>
        <w:rPr>
          <w:rFonts w:ascii="宋体" w:hAnsi="宋体" w:eastAsia="宋体" w:cs="宋体"/>
          <w:sz w:val="24"/>
          <w:szCs w:val="24"/>
          <w:color w:val="000000"/>
          <w:b w:val="1"/>
          <w:i w:val="0"/>
        </w:rPr>
        <w:t>现有技术二与本发明的关系</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Oracle的相关技术一方面根据运行统计，对单条查询尚未完成的计划进行重新优化；另一方面保存完整或部分执行取得的信息，供后续相同、等价或相关查询规划使用。本发明将同一SQL的调优组织为全局预算内的多轮独立候选试运行，对各轮设置执行期限，并将取消时取得的可用节点行数经判定和合并后用于后续规划。完整运行时间另行用于比较候选性能。[R19][R31][R32]</w:t>
      </w:r>
    </w:p>
    <w:p>
      <w:pPr>
        <w:pStyle w:val="Heading2"/>
        <w:keepNext/>
        <w:widowControl/>
        <w:spacing w:line="360" w:lineRule="auto" w:before="240" w:after="120"/>
        <w:ind w:firstLine="0" w:firstLineChars="0"/>
        <w:autoSpaceDE w:val="0"/>
        <w:autoSpaceDN w:val="0"/>
      </w:pPr>
      <w:r>
        <w:rPr>
          <w:rFonts w:ascii="宋体" w:hAnsi="宋体" w:eastAsia="宋体" w:cs="宋体"/>
          <w:sz w:val="26"/>
          <w:szCs w:val="26"/>
          <w:color w:val="000000"/>
          <w:b w:val="1"/>
          <w:i w:val="0"/>
        </w:rPr>
        <w:t>与本发明相关的现有技术三：Microsoft</w:t>
      </w:r>
    </w:p>
    <w:p>
      <w:pPr>
        <w:pStyle w:val="Heading3"/>
        <w:keepNext/>
        <w:widowControl/>
        <w:spacing w:line="360" w:lineRule="auto" w:before="240" w:after="120"/>
        <w:ind w:firstLine="0" w:firstLineChars="0"/>
        <w:autoSpaceDE w:val="0"/>
        <w:autoSpaceDN w:val="0"/>
      </w:pPr>
      <w:r>
        <w:rPr>
          <w:rFonts w:ascii="宋体" w:hAnsi="宋体" w:eastAsia="宋体" w:cs="宋体"/>
          <w:sz w:val="24"/>
          <w:szCs w:val="24"/>
          <w:color w:val="000000"/>
          <w:b w:val="1"/>
          <w:i w:val="0"/>
        </w:rPr>
        <w:t>现有技术三的技术方案</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Microsoft专利US7493337B2关注查询执行进度的估计。其方法分别记录各算子已经返回的行数，维护各算子最终输出行数的上下界，并传播边界变化，以修正进度估计。权利要求27将某时点已返回的数据项数量设为下界；权利要求33涉及多个算子的上下界维护与传播；权利要求42涉及显示查询进度并允许用户启动或中止查询的系统。[R21]</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相关论文《Estimating Progress of Execution for SQL Queries》以查询整体进度估计为目标，根据算子输出计数和基数上下界，修正预计总工作量。论文说明，算子结束时，其输出行数的上下界精确已知且相等。2016年的《Operator and Query Progress Estimation in Microsoft SQL Server Live Query Statistics》产品论文明确采用了这一早期研究的基数边界技术，并同时估计查询整体和单个算子的进度。[R26][R27]</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SQL Server提供系统动态管理视图</w:t>
      </w:r>
      <w:r>
        <w:rPr>
          <w:rFonts w:ascii="宋体" w:hAnsi="宋体" w:eastAsia="宋体" w:cs="宋体"/>
          <w:sz w:val="24"/>
          <w:szCs w:val="24"/>
          <w:color w:val="000000"/>
          <w:b w:val="0"/>
          <w:i w:val="0"/>
        </w:rPr>
        <w:t>sys.dm_exec_query_profiles</w:t>
      </w:r>
      <w:r>
        <w:rPr>
          <w:rFonts w:ascii="宋体" w:hAnsi="宋体" w:eastAsia="宋体" w:cs="宋体"/>
          <w:sz w:val="24"/>
          <w:szCs w:val="24"/>
          <w:color w:val="000000"/>
          <w:b w:val="0"/>
          <w:i w:val="0"/>
        </w:rPr>
        <w:t>，按算子和执行线程返回累计行数、估算行数、扫描结束次数、重复执行计数及关闭时间。实时查询统计功能（Live Query Statistics）使用这些统计信息显示查询和算子的执行进度。[R5][R6][R27]</w:t>
      </w:r>
    </w:p>
    <w:p>
      <w:pPr>
        <w:pStyle w:val="Heading3"/>
        <w:keepNext/>
        <w:widowControl/>
        <w:spacing w:line="360" w:lineRule="auto" w:before="240" w:after="120"/>
        <w:ind w:firstLine="0" w:firstLineChars="0"/>
        <w:autoSpaceDE w:val="0"/>
        <w:autoSpaceDN w:val="0"/>
      </w:pPr>
      <w:r>
        <w:rPr>
          <w:rFonts w:ascii="宋体" w:hAnsi="宋体" w:eastAsia="宋体" w:cs="宋体"/>
          <w:sz w:val="24"/>
          <w:szCs w:val="24"/>
          <w:color w:val="000000"/>
          <w:b w:val="1"/>
          <w:i w:val="0"/>
        </w:rPr>
        <w:t>现有技术三与本发明的关系</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Microsoft将算子已返回行数、预计总行数及其上下界用于查询进度估计，帮助用户判断当前查询已经完成多少工作，以及应继续执行还是中止。本发明将满足条件的节点行数用于修正下一轮候选的基数输入，使优化器能够重新选择访问路径、连接顺序或连接方法。[R21][R26][R27]</w:t>
      </w:r>
    </w:p>
    <w:p>
      <w:pPr>
        <w:pStyle w:val="Heading1"/>
        <w:keepNext/>
        <w:widowControl/>
        <w:spacing w:line="360" w:lineRule="auto" w:before="240" w:after="120"/>
        <w:ind w:firstLine="0" w:firstLineChars="0"/>
        <w:autoSpaceDE w:val="0"/>
        <w:autoSpaceDN w:val="0"/>
      </w:pPr>
      <w:r>
        <w:rPr>
          <w:rFonts w:ascii="宋体" w:hAnsi="宋体" w:eastAsia="宋体" w:cs="宋体"/>
          <w:sz w:val="28"/>
          <w:szCs w:val="28"/>
          <w:color w:val="000000"/>
          <w:b w:val="1"/>
          <w:i w:val="0"/>
        </w:rPr>
        <w:t>本发明技术方案的详细阐述</w:t>
      </w:r>
    </w:p>
    <w:p>
      <w:pPr>
        <w:pStyle w:val="Heading2"/>
        <w:keepNext/>
        <w:widowControl/>
        <w:spacing w:line="360" w:lineRule="auto" w:before="240" w:after="120"/>
        <w:ind w:firstLine="0" w:firstLineChars="0"/>
        <w:autoSpaceDE w:val="0"/>
        <w:autoSpaceDN w:val="0"/>
      </w:pPr>
      <w:r>
        <w:rPr>
          <w:rFonts w:ascii="宋体" w:hAnsi="宋体" w:eastAsia="宋体" w:cs="宋体"/>
          <w:sz w:val="26"/>
          <w:szCs w:val="26"/>
          <w:color w:val="000000"/>
          <w:b w:val="1"/>
          <w:i w:val="0"/>
        </w:rPr>
        <w:t>本发明所要解决的技术问题</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本发明要解决的技术问题是：在全局调优预算有限的情况下，某些候选计划长时间运行，会挤占后续迭代的时间；直接取消又可能导致节点执行统计无法正常返回。同时，取消时取得的行数可能来自尚未结束的执行，也可能是多次调用的累计结果，不能全部视为最终基数。因此，需要在限制单轮执行时间的同时，保存已有节点统计，判断其中哪些行数可用，并将可用行数用于后续规划。</w:t>
      </w:r>
    </w:p>
    <w:p>
      <w:pPr>
        <w:pStyle w:val="Heading2"/>
        <w:keepNext/>
        <w:widowControl/>
        <w:spacing w:line="360" w:lineRule="auto" w:before="240" w:after="120"/>
        <w:ind w:firstLine="0" w:firstLineChars="0"/>
        <w:autoSpaceDE w:val="0"/>
        <w:autoSpaceDN w:val="0"/>
      </w:pPr>
      <w:r>
        <w:rPr>
          <w:rFonts w:ascii="宋体" w:hAnsi="宋体" w:eastAsia="宋体" w:cs="宋体"/>
          <w:sz w:val="26"/>
          <w:szCs w:val="26"/>
          <w:color w:val="000000"/>
          <w:b w:val="1"/>
          <w:i w:val="0"/>
        </w:rPr>
        <w:t>本发明的主要要点概述</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本发明为同一SQL的每轮候选计划设置执行期限。计划超时取消时，调优工具在执行器清理前取得本轮实际执行的计划，以及各节点的返回行数和执行状态。调优工具核对行数对应的扫描或连接、执行次数和统计范围：确认全部相关行数已返回时采用精确行数；尚未全部返回，但可比较的已返回行数超过本轮估算、且只会随执行继续累加时，采用行数下界；其他情况不生成反馈。对含义和统计范围一致、且统计仍然适用的反馈目标，精确行数替换已保存的值；尚无精确值时，下界仅用于提高该值；没有可用反馈时保持原值。合并结果用于下一轮独立规划。正常完成的计划也可提供行数反馈，完整运行时间用于选择最佳计划和调整后续执行期限。</w:t>
      </w:r>
    </w:p>
    <w:p>
      <w:pPr>
        <w:pStyle w:val="Heading2"/>
        <w:keepNext/>
        <w:widowControl/>
        <w:spacing w:line="360" w:lineRule="auto" w:before="240" w:after="120"/>
        <w:ind w:firstLine="0" w:firstLineChars="0"/>
        <w:autoSpaceDE w:val="0"/>
        <w:autoSpaceDN w:val="0"/>
      </w:pPr>
      <w:r>
        <w:rPr>
          <w:rFonts w:ascii="宋体" w:hAnsi="宋体" w:eastAsia="宋体" w:cs="宋体"/>
          <w:sz w:val="26"/>
          <w:szCs w:val="26"/>
          <w:color w:val="000000"/>
          <w:b w:val="1"/>
          <w:i w:val="0"/>
        </w:rPr>
        <w:t>本发明可应用的系统架构或场景</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系统包括候选生成、限时执行、节点统计采集、行数判定、反馈合并和迭代控制六个单元。</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在本实施方式中，节点统计采集单元在数据库执行器中读取本轮节点对象，并在取消清理前保存统计。调优工具接收这些统计，组织行数判定、反馈合并以及后续候选的生成与试运行。</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候选生成单元接收原始SQL和已保存的基数反馈，调用优化器生成第i轮候选计划</w:t>
      </w:r>
      <w:r>
        <w:rPr>
          <w:rFonts w:ascii="宋体" w:hAnsi="宋体" w:eastAsia="宋体" w:cs="宋体"/>
          <w:sz w:val="24"/>
          <w:szCs w:val="24"/>
          <w:color w:val="000000"/>
          <w:b w:val="0"/>
          <w:i w:val="0"/>
        </w:rPr>
        <w:t>P_i</w:t>
      </w:r>
      <w:r>
        <w:rPr>
          <w:rFonts w:ascii="宋体" w:hAnsi="宋体" w:eastAsia="宋体" w:cs="宋体"/>
          <w:sz w:val="24"/>
          <w:szCs w:val="24"/>
          <w:color w:val="000000"/>
          <w:b w:val="0"/>
          <w:i w:val="0"/>
        </w:rPr>
        <w:t>。限时执行单元为该轮设置期限</w:t>
      </w:r>
      <w:r>
        <w:rPr>
          <w:rFonts w:ascii="宋体" w:hAnsi="宋体" w:eastAsia="宋体" w:cs="宋体"/>
          <w:sz w:val="24"/>
          <w:szCs w:val="24"/>
          <w:color w:val="000000"/>
          <w:b w:val="0"/>
          <w:i w:val="0"/>
        </w:rPr>
        <w:t>T_i</w:t>
      </w:r>
      <w:r>
        <w:rPr>
          <w:rFonts w:ascii="宋体" w:hAnsi="宋体" w:eastAsia="宋体" w:cs="宋体"/>
          <w:sz w:val="24"/>
          <w:szCs w:val="24"/>
          <w:color w:val="000000"/>
          <w:b w:val="0"/>
          <w:i w:val="0"/>
        </w:rPr>
        <w:t>，并通过</w:t>
      </w:r>
      <w:r>
        <w:rPr>
          <w:rFonts w:ascii="宋体" w:hAnsi="宋体" w:eastAsia="宋体" w:cs="宋体"/>
          <w:sz w:val="24"/>
          <w:szCs w:val="24"/>
          <w:color w:val="000000"/>
          <w:b w:val="0"/>
          <w:i w:val="0"/>
        </w:rPr>
        <w:t>EXPLAIN ANALYZE</w:t>
      </w:r>
      <w:r>
        <w:rPr>
          <w:rFonts w:ascii="宋体" w:hAnsi="宋体" w:eastAsia="宋体" w:cs="宋体"/>
          <w:sz w:val="24"/>
          <w:szCs w:val="24"/>
          <w:color w:val="000000"/>
          <w:b w:val="0"/>
          <w:i w:val="0"/>
        </w:rPr>
        <w:t>试运行计划。计划正常完成时，节点统计交由行数判定单元处理，完整运行时间用于比较已完成计划的性能。计划超时取消时，统计采集单元在执行器清理前读取节点行数和执行状态，再交由行数判定单元处理。</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行数判定单元确认统计对应的扫描或连接，检查行数是否已全部返回、节点是否还会再次执行，以及实际行数与估算行数能否直接比较。反馈合并单元根据判定结果，更新调优工具保存的行数值，并生成下一轮使用的Rows Hint等规划输入。迭代控制单元据此生成新计划，直到触发全局预算、收敛或其他停止条件。</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系统可以由数据库内的执行统计模块与外部调优工具共同实现，也可以集成在数据库服务中。每轮分别创建执行上下文，前轮取得的统计通过下一轮的规划输入继续发挥作用。</w:t>
      </w:r>
    </w:p>
    <w:p>
      <w:pPr>
        <w:pStyle w:val="Heading2"/>
        <w:keepNext/>
        <w:widowControl/>
        <w:spacing w:line="360" w:lineRule="auto" w:before="240" w:after="120"/>
        <w:ind w:firstLine="0" w:firstLineChars="0"/>
        <w:autoSpaceDE w:val="0"/>
        <w:autoSpaceDN w:val="0"/>
      </w:pPr>
      <w:r>
        <w:rPr>
          <w:rFonts w:ascii="宋体" w:hAnsi="宋体" w:eastAsia="宋体" w:cs="宋体"/>
          <w:sz w:val="26"/>
          <w:szCs w:val="26"/>
          <w:color w:val="000000"/>
          <w:b w:val="1"/>
          <w:i w:val="0"/>
        </w:rPr>
        <w:t>本发明技术实现的具体实施例</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以下四个实施例依次说明单轮执行期限、节点统计采集、行数适用条件，以及反馈的分类与合并。</w:t>
      </w:r>
    </w:p>
    <w:p>
      <w:pPr>
        <w:pStyle w:val="Heading3"/>
        <w:keepNext/>
        <w:widowControl/>
        <w:spacing w:line="360" w:lineRule="auto" w:before="240" w:after="120"/>
        <w:ind w:firstLine="0" w:firstLineChars="0"/>
        <w:autoSpaceDE w:val="0"/>
        <w:autoSpaceDN w:val="0"/>
      </w:pPr>
      <w:r>
        <w:rPr>
          <w:rFonts w:ascii="宋体" w:hAnsi="宋体" w:eastAsia="宋体" w:cs="宋体"/>
          <w:sz w:val="24"/>
          <w:szCs w:val="24"/>
          <w:color w:val="000000"/>
          <w:b w:val="1"/>
          <w:i w:val="0"/>
        </w:rPr>
        <w:t>本发明实施例一：同一SQL的限时试运行与期限调整</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本实施例说明如何控制每轮试运行的时间，并根据已有反馈继续生成计划。设第i轮候选计划为</w:t>
      </w:r>
      <w:r>
        <w:rPr>
          <w:rFonts w:ascii="宋体" w:hAnsi="宋体" w:eastAsia="宋体" w:cs="宋体"/>
          <w:sz w:val="24"/>
          <w:szCs w:val="24"/>
          <w:color w:val="000000"/>
          <w:b w:val="0"/>
          <w:i w:val="0"/>
        </w:rPr>
        <w:t>P_i</w:t>
      </w:r>
      <w:r>
        <w:rPr>
          <w:rFonts w:ascii="宋体" w:hAnsi="宋体" w:eastAsia="宋体" w:cs="宋体"/>
          <w:sz w:val="24"/>
          <w:szCs w:val="24"/>
          <w:color w:val="000000"/>
          <w:b w:val="0"/>
          <w:i w:val="0"/>
        </w:rPr>
        <w:t>，该轮的实际执行期限为</w:t>
      </w:r>
      <w:r>
        <w:rPr>
          <w:rFonts w:ascii="宋体" w:hAnsi="宋体" w:eastAsia="宋体" w:cs="宋体"/>
          <w:sz w:val="24"/>
          <w:szCs w:val="24"/>
          <w:color w:val="000000"/>
          <w:b w:val="0"/>
          <w:i w:val="0"/>
        </w:rPr>
        <w:t>T_i</w:t>
      </w:r>
      <w:r>
        <w:rPr>
          <w:rFonts w:ascii="宋体" w:hAnsi="宋体" w:eastAsia="宋体" w:cs="宋体"/>
          <w:sz w:val="24"/>
          <w:szCs w:val="24"/>
          <w:color w:val="000000"/>
          <w:b w:val="0"/>
          <w:i w:val="0"/>
        </w:rPr>
        <w:t>。调优工具将原始SQL和当前Rows Hint等规划输入交给优化器，取得候选计划，并为该轮创建独立执行上下文。</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调优工具通过</w:t>
      </w:r>
      <w:r>
        <w:rPr>
          <w:rFonts w:ascii="宋体" w:hAnsi="宋体" w:eastAsia="宋体" w:cs="宋体"/>
          <w:sz w:val="24"/>
          <w:szCs w:val="24"/>
          <w:color w:val="000000"/>
          <w:b w:val="0"/>
          <w:i w:val="0"/>
        </w:rPr>
        <w:t>EXPLAIN ANALYZE</w:t>
      </w:r>
      <w:r>
        <w:rPr>
          <w:rFonts w:ascii="宋体" w:hAnsi="宋体" w:eastAsia="宋体" w:cs="宋体"/>
          <w:sz w:val="24"/>
          <w:szCs w:val="24"/>
          <w:color w:val="000000"/>
          <w:b w:val="0"/>
          <w:i w:val="0"/>
        </w:rPr>
        <w:t>执行候选计划。计划正常完成时，收集节点统计和完整运行时间：节点统计继续用于行数反馈，完整运行时间用于比较各计划的性能。达到期限时，取消本轮执行，并按实施例二在执行器清理前取得节点统计。该轮已经消耗的时间单独记录，其中满足条件的行数仍可用于后续规划。</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初始单轮执行上限为可配置的</w:t>
      </w:r>
      <w:r>
        <w:rPr>
          <w:rFonts w:ascii="宋体" w:hAnsi="宋体" w:eastAsia="宋体" w:cs="宋体"/>
          <w:sz w:val="24"/>
          <w:szCs w:val="24"/>
          <w:color w:val="000000"/>
          <w:b w:val="0"/>
          <w:i w:val="0"/>
        </w:rPr>
        <w:t>T₀</w:t>
      </w:r>
      <w:r>
        <w:rPr>
          <w:rFonts w:ascii="宋体" w:hAnsi="宋体" w:eastAsia="宋体" w:cs="宋体"/>
          <w:sz w:val="24"/>
          <w:szCs w:val="24"/>
          <w:color w:val="000000"/>
          <w:b w:val="0"/>
          <w:i w:val="0"/>
        </w:rPr>
        <w:t>。尚未在反馈迭代中取得正常完成并保留的候选计划时，使用</w:t>
      </w:r>
      <w:r>
        <w:rPr>
          <w:rFonts w:ascii="宋体" w:hAnsi="宋体" w:eastAsia="宋体" w:cs="宋体"/>
          <w:sz w:val="24"/>
          <w:szCs w:val="24"/>
          <w:color w:val="000000"/>
          <w:b w:val="0"/>
          <w:i w:val="0"/>
        </w:rPr>
        <w:t>T₀</w:t>
      </w:r>
      <w:r>
        <w:rPr>
          <w:rFonts w:ascii="宋体" w:hAnsi="宋体" w:eastAsia="宋体" w:cs="宋体"/>
          <w:sz w:val="24"/>
          <w:szCs w:val="24"/>
          <w:color w:val="000000"/>
          <w:b w:val="0"/>
          <w:i w:val="0"/>
        </w:rPr>
        <w:t>；取得这些候选中的最佳完整运行时间</w:t>
      </w:r>
      <w:r>
        <w:rPr>
          <w:rFonts w:ascii="宋体" w:hAnsi="宋体" w:eastAsia="宋体" w:cs="宋体"/>
          <w:sz w:val="24"/>
          <w:szCs w:val="24"/>
          <w:color w:val="000000"/>
          <w:b w:val="0"/>
          <w:i w:val="0"/>
        </w:rPr>
        <w:t>t_best</w:t>
      </w:r>
      <w:r>
        <w:rPr>
          <w:rFonts w:ascii="宋体" w:hAnsi="宋体" w:eastAsia="宋体" w:cs="宋体"/>
          <w:sz w:val="24"/>
          <w:szCs w:val="24"/>
          <w:color w:val="000000"/>
          <w:b w:val="0"/>
          <w:i w:val="0"/>
        </w:rPr>
        <w:t>后，后续上限按下式计算：</w:t>
      </w:r>
    </w:p>
    <w:p>
      <w:pPr>
        <w:widowControl/>
        <w:spacing w:line="360" w:lineRule="auto" w:before="120" w:after="120"/>
        <w:ind w:firstLine="0" w:firstLineChars="0"/>
        <w:autoSpaceDE w:val="0"/>
        <w:autoSpaceDN w:val="0"/>
        <w:jc w:val="center"/>
      </w:pPr>
      <m:oMathPara>
        <m:oMath>
          <m:sSub>
            <m:e>
              <m:r>
                <m:rPr>
                  <m:sty m:val="p"/>
                </m:rPr>
                <w:rPr>
                  <w:rFonts w:ascii="宋体" w:hAnsi="宋体" w:eastAsia="宋体" w:cs="宋体"/>
                  <w:sz w:val="24"/>
                  <w:szCs w:val="24"/>
                  <w:color w:val="000000"/>
                  <w:b w:val="0"/>
                  <w:i w:val="0"/>
                </w:rPr>
                <m:t>T</m:t>
              </m:r>
            </m:e>
            <m:sub>
              <m:r>
                <m:rPr>
                  <m:sty m:val="p"/>
                </m:rPr>
                <w:rPr>
                  <w:rFonts w:ascii="宋体" w:hAnsi="宋体" w:eastAsia="宋体" w:cs="宋体"/>
                  <w:sz w:val="24"/>
                  <w:szCs w:val="24"/>
                  <w:color w:val="000000"/>
                  <w:b w:val="0"/>
                  <w:i w:val="0"/>
                </w:rPr>
                <m:t>cap</m:t>
              </m:r>
            </m:sub>
          </m:sSub>
          <m:r>
            <m:rPr>
              <m:sty m:val="p"/>
            </m:rPr>
            <w:rPr>
              <w:rFonts w:ascii="宋体" w:hAnsi="宋体" w:eastAsia="宋体" w:cs="宋体"/>
              <w:sz w:val="24"/>
              <w:szCs w:val="24"/>
              <w:color w:val="000000"/>
              <w:b w:val="0"/>
              <w:i w:val="0"/>
            </w:rPr>
            <m:t> = min(</m:t>
          </m:r>
          <m:sSub>
            <m:e>
              <m:r>
                <m:rPr>
                  <m:sty m:val="p"/>
                </m:rPr>
                <w:rPr>
                  <w:rFonts w:ascii="宋体" w:hAnsi="宋体" w:eastAsia="宋体" w:cs="宋体"/>
                  <w:sz w:val="24"/>
                  <w:szCs w:val="24"/>
                  <w:color w:val="000000"/>
                  <w:b w:val="0"/>
                  <w:i w:val="0"/>
                </w:rPr>
                <m:t>T</m:t>
              </m:r>
            </m:e>
            <m:sub>
              <m:r>
                <m:rPr>
                  <m:sty m:val="p"/>
                </m:rPr>
                <w:rPr>
                  <w:rFonts w:ascii="宋体" w:hAnsi="宋体" w:eastAsia="宋体" w:cs="宋体"/>
                  <w:sz w:val="24"/>
                  <w:szCs w:val="24"/>
                  <w:color w:val="000000"/>
                  <w:b w:val="0"/>
                  <w:i w:val="0"/>
                </w:rPr>
                <m:t>0</m:t>
              </m:r>
            </m:sub>
          </m:sSub>
          <m:r>
            <m:rPr>
              <m:sty m:val="p"/>
            </m:rPr>
            <w:rPr>
              <w:rFonts w:ascii="宋体" w:hAnsi="宋体" w:eastAsia="宋体" w:cs="宋体"/>
              <w:sz w:val="24"/>
              <w:szCs w:val="24"/>
              <w:color w:val="000000"/>
              <w:b w:val="0"/>
              <w:i w:val="0"/>
            </w:rPr>
            <m:t>, 1.25 × </m:t>
          </m:r>
          <m:sSub>
            <m:e>
              <m:r>
                <m:rPr>
                  <m:sty m:val="p"/>
                </m:rPr>
                <w:rPr>
                  <w:rFonts w:ascii="宋体" w:hAnsi="宋体" w:eastAsia="宋体" w:cs="宋体"/>
                  <w:sz w:val="24"/>
                  <w:szCs w:val="24"/>
                  <w:color w:val="000000"/>
                  <w:b w:val="0"/>
                  <w:i w:val="0"/>
                </w:rPr>
                <m:t>t</m:t>
              </m:r>
            </m:e>
            <m:sub>
              <m:r>
                <m:rPr>
                  <m:sty m:val="p"/>
                </m:rPr>
                <w:rPr>
                  <w:rFonts w:ascii="宋体" w:hAnsi="宋体" w:eastAsia="宋体" w:cs="宋体"/>
                  <w:sz w:val="24"/>
                  <w:szCs w:val="24"/>
                  <w:color w:val="000000"/>
                  <w:b w:val="0"/>
                  <w:i w:val="0"/>
                </w:rPr>
                <m:t>best</m:t>
              </m:r>
            </m:sub>
          </m:sSub>
          <m:r>
            <m:rPr>
              <m:sty m:val="p"/>
            </m:rPr>
            <w:rPr>
              <w:rFonts w:ascii="宋体" w:hAnsi="宋体" w:eastAsia="宋体" w:cs="宋体"/>
              <w:sz w:val="24"/>
              <w:szCs w:val="24"/>
              <w:color w:val="000000"/>
              <w:b w:val="0"/>
              <w:i w:val="0"/>
            </w:rPr>
            <m:t>)</m:t>
          </m:r>
        </m:oMath>
      </m:oMathPara>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实际执行期限还受剩余全局调优预算约束，并为取消、统计处理和重新规划预留时间。实验中</w:t>
      </w:r>
      <w:r>
        <w:rPr>
          <w:rFonts w:ascii="宋体" w:hAnsi="宋体" w:eastAsia="宋体" w:cs="宋体"/>
          <w:sz w:val="24"/>
          <w:szCs w:val="24"/>
          <w:color w:val="000000"/>
          <w:b w:val="0"/>
          <w:i w:val="0"/>
        </w:rPr>
        <w:t>T₀=10秒</w:t>
      </w:r>
      <w:r>
        <w:rPr>
          <w:rFonts w:ascii="宋体" w:hAnsi="宋体" w:eastAsia="宋体" w:cs="宋体"/>
          <w:sz w:val="24"/>
          <w:szCs w:val="24"/>
          <w:color w:val="000000"/>
          <w:b w:val="0"/>
          <w:i w:val="0"/>
        </w:rPr>
        <w:t>；如果最佳完整运行时间为4秒，则后续执行上限为5秒。取消时已耗的时间不作为完整运行时间，也不用于更新</w:t>
      </w:r>
      <w:r>
        <w:rPr>
          <w:rFonts w:ascii="宋体" w:hAnsi="宋体" w:eastAsia="宋体" w:cs="宋体"/>
          <w:sz w:val="24"/>
          <w:szCs w:val="24"/>
          <w:color w:val="000000"/>
          <w:b w:val="0"/>
          <w:i w:val="0"/>
        </w:rPr>
        <w:t>t_best</w:t>
      </w:r>
      <w:r>
        <w:rPr>
          <w:rFonts w:ascii="宋体" w:hAnsi="宋体" w:eastAsia="宋体" w:cs="宋体"/>
          <w:sz w:val="24"/>
          <w:szCs w:val="24"/>
          <w:color w:val="000000"/>
          <w:b w:val="0"/>
          <w:i w:val="0"/>
        </w:rPr>
        <w:t>。</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调优工具按照实施例三、四判定并合并本轮统计，再调用优化器生成下一轮计划。各轮分别创建执行上下文，前轮统计通过基数输入影响后轮规划。达到全局预算、收敛或其他停止条件时，结束迭代。在其他实施方式中，单轮初始期限和时间倍率可以根据调优任务配置。</w:t>
      </w:r>
    </w:p>
    <w:p>
      <w:pPr>
        <w:pStyle w:val="Heading3"/>
        <w:keepNext/>
        <w:widowControl/>
        <w:spacing w:line="360" w:lineRule="auto" w:before="240" w:after="120"/>
        <w:ind w:firstLine="0" w:firstLineChars="0"/>
        <w:autoSpaceDE w:val="0"/>
        <w:autoSpaceDN w:val="0"/>
      </w:pPr>
      <w:r>
        <w:rPr>
          <w:rFonts w:ascii="宋体" w:hAnsi="宋体" w:eastAsia="宋体" w:cs="宋体"/>
          <w:sz w:val="24"/>
          <w:szCs w:val="24"/>
          <w:color w:val="000000"/>
          <w:b w:val="1"/>
          <w:i w:val="0"/>
        </w:rPr>
        <w:t>本发明实施例二：超时取消时保存节点行数与执行状态</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本实施例以GaussDB的普通行执行节点为例，说明如何在超时取消时保存节点统计。数据库在本轮执行开始时，从</w:t>
      </w:r>
      <w:r>
        <w:rPr>
          <w:rFonts w:ascii="宋体" w:hAnsi="宋体" w:eastAsia="宋体" w:cs="宋体"/>
          <w:sz w:val="24"/>
          <w:szCs w:val="24"/>
          <w:color w:val="000000"/>
          <w:b w:val="0"/>
          <w:i w:val="0"/>
        </w:rPr>
        <w:t>QueryDesc</w:t>
      </w:r>
      <w:r>
        <w:rPr>
          <w:rFonts w:ascii="宋体" w:hAnsi="宋体" w:eastAsia="宋体" w:cs="宋体"/>
          <w:sz w:val="24"/>
          <w:szCs w:val="24"/>
          <w:color w:val="000000"/>
          <w:b w:val="0"/>
          <w:i w:val="0"/>
        </w:rPr>
        <w:t>的</w:t>
      </w:r>
      <w:r>
        <w:rPr>
          <w:rFonts w:ascii="宋体" w:hAnsi="宋体" w:eastAsia="宋体" w:cs="宋体"/>
          <w:sz w:val="24"/>
          <w:szCs w:val="24"/>
          <w:color w:val="000000"/>
          <w:b w:val="0"/>
          <w:i w:val="0"/>
        </w:rPr>
        <w:t>planstate</w:t>
      </w:r>
      <w:r>
        <w:rPr>
          <w:rFonts w:ascii="宋体" w:hAnsi="宋体" w:eastAsia="宋体" w:cs="宋体"/>
          <w:sz w:val="24"/>
          <w:szCs w:val="24"/>
          <w:color w:val="000000"/>
          <w:b w:val="0"/>
          <w:i w:val="0"/>
        </w:rPr>
        <w:t>字段取得最上层算子的执行状态对象</w:t>
      </w:r>
      <w:r>
        <w:rPr>
          <w:rFonts w:ascii="宋体" w:hAnsi="宋体" w:eastAsia="宋体" w:cs="宋体"/>
          <w:sz w:val="24"/>
          <w:szCs w:val="24"/>
          <w:color w:val="000000"/>
          <w:b w:val="0"/>
          <w:i w:val="0"/>
        </w:rPr>
        <w:t>PlanState</w:t>
      </w:r>
      <w:r>
        <w:rPr>
          <w:rFonts w:ascii="宋体" w:hAnsi="宋体" w:eastAsia="宋体" w:cs="宋体"/>
          <w:sz w:val="24"/>
          <w:szCs w:val="24"/>
          <w:color w:val="000000"/>
          <w:b w:val="0"/>
          <w:i w:val="0"/>
        </w:rPr>
        <w:t>，再沿子节点关系遍历执行计划状态树，保存各算子的</w:t>
      </w:r>
      <w:r>
        <w:rPr>
          <w:rFonts w:ascii="宋体" w:hAnsi="宋体" w:eastAsia="宋体" w:cs="宋体"/>
          <w:sz w:val="24"/>
          <w:szCs w:val="24"/>
          <w:color w:val="000000"/>
          <w:b w:val="0"/>
          <w:i w:val="0"/>
        </w:rPr>
        <w:t>PlanState</w:t>
      </w:r>
      <w:r>
        <w:rPr>
          <w:rFonts w:ascii="宋体" w:hAnsi="宋体" w:eastAsia="宋体" w:cs="宋体"/>
          <w:sz w:val="24"/>
          <w:szCs w:val="24"/>
          <w:color w:val="000000"/>
          <w:b w:val="0"/>
          <w:i w:val="0"/>
        </w:rPr>
        <w:t>指针，供取消时读取。</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每个</w:t>
      </w:r>
      <w:r>
        <w:rPr>
          <w:rFonts w:ascii="宋体" w:hAnsi="宋体" w:eastAsia="宋体" w:cs="宋体"/>
          <w:sz w:val="24"/>
          <w:szCs w:val="24"/>
          <w:color w:val="000000"/>
          <w:b w:val="0"/>
          <w:i w:val="0"/>
        </w:rPr>
        <w:t>PlanState</w:t>
      </w:r>
      <w:r>
        <w:rPr>
          <w:rFonts w:ascii="宋体" w:hAnsi="宋体" w:eastAsia="宋体" w:cs="宋体"/>
          <w:sz w:val="24"/>
          <w:szCs w:val="24"/>
          <w:color w:val="000000"/>
          <w:b w:val="0"/>
          <w:i w:val="0"/>
        </w:rPr>
        <w:t>中的</w:t>
      </w:r>
      <w:r>
        <w:rPr>
          <w:rFonts w:ascii="宋体" w:hAnsi="宋体" w:eastAsia="宋体" w:cs="宋体"/>
          <w:sz w:val="24"/>
          <w:szCs w:val="24"/>
          <w:color w:val="000000"/>
          <w:b w:val="0"/>
          <w:i w:val="0"/>
        </w:rPr>
        <w:t>plan</w:t>
      </w:r>
      <w:r>
        <w:rPr>
          <w:rFonts w:ascii="宋体" w:hAnsi="宋体" w:eastAsia="宋体" w:cs="宋体"/>
          <w:sz w:val="24"/>
          <w:szCs w:val="24"/>
          <w:color w:val="000000"/>
          <w:b w:val="0"/>
          <w:i w:val="0"/>
        </w:rPr>
        <w:t>指针指向该算子的计划信息对象</w:t>
      </w:r>
      <w:r>
        <w:rPr>
          <w:rFonts w:ascii="宋体" w:hAnsi="宋体" w:eastAsia="宋体" w:cs="宋体"/>
          <w:sz w:val="24"/>
          <w:szCs w:val="24"/>
          <w:color w:val="000000"/>
          <w:b w:val="0"/>
          <w:i w:val="0"/>
        </w:rPr>
        <w:t>Plan</w:t>
      </w:r>
      <w:r>
        <w:rPr>
          <w:rFonts w:ascii="宋体" w:hAnsi="宋体" w:eastAsia="宋体" w:cs="宋体"/>
          <w:sz w:val="24"/>
          <w:szCs w:val="24"/>
          <w:color w:val="000000"/>
          <w:b w:val="0"/>
          <w:i w:val="0"/>
        </w:rPr>
        <w:t>，其中</w:t>
      </w:r>
      <w:r>
        <w:rPr>
          <w:rFonts w:ascii="宋体" w:hAnsi="宋体" w:eastAsia="宋体" w:cs="宋体"/>
          <w:sz w:val="24"/>
          <w:szCs w:val="24"/>
          <w:color w:val="000000"/>
          <w:b w:val="0"/>
          <w:i w:val="0"/>
        </w:rPr>
        <w:t>plan_node_id</w:t>
      </w:r>
      <w:r>
        <w:rPr>
          <w:rFonts w:ascii="宋体" w:hAnsi="宋体" w:eastAsia="宋体" w:cs="宋体"/>
          <w:sz w:val="24"/>
          <w:szCs w:val="24"/>
          <w:color w:val="000000"/>
          <w:b w:val="0"/>
          <w:i w:val="0"/>
        </w:rPr>
        <w:t>保存节点ID，</w:t>
      </w:r>
      <w:r>
        <w:rPr>
          <w:rFonts w:ascii="宋体" w:hAnsi="宋体" w:eastAsia="宋体" w:cs="宋体"/>
          <w:sz w:val="24"/>
          <w:szCs w:val="24"/>
          <w:color w:val="000000"/>
          <w:b w:val="0"/>
          <w:i w:val="0"/>
        </w:rPr>
        <w:t>plan_rows</w:t>
      </w:r>
      <w:r>
        <w:rPr>
          <w:rFonts w:ascii="宋体" w:hAnsi="宋体" w:eastAsia="宋体" w:cs="宋体"/>
          <w:sz w:val="24"/>
          <w:szCs w:val="24"/>
          <w:color w:val="000000"/>
          <w:b w:val="0"/>
          <w:i w:val="0"/>
        </w:rPr>
        <w:t>保存估算行数E。</w:t>
      </w:r>
      <w:r>
        <w:rPr>
          <w:rFonts w:ascii="宋体" w:hAnsi="宋体" w:eastAsia="宋体" w:cs="宋体"/>
          <w:sz w:val="24"/>
          <w:szCs w:val="24"/>
          <w:color w:val="000000"/>
          <w:b w:val="0"/>
          <w:i w:val="0"/>
        </w:rPr>
        <w:t>instrument</w:t>
      </w:r>
      <w:r>
        <w:rPr>
          <w:rFonts w:ascii="宋体" w:hAnsi="宋体" w:eastAsia="宋体" w:cs="宋体"/>
          <w:sz w:val="24"/>
          <w:szCs w:val="24"/>
          <w:color w:val="000000"/>
          <w:b w:val="0"/>
          <w:i w:val="0"/>
        </w:rPr>
        <w:t>指针指向执行统计对象</w:t>
      </w:r>
      <w:r>
        <w:rPr>
          <w:rFonts w:ascii="宋体" w:hAnsi="宋体" w:eastAsia="宋体" w:cs="宋体"/>
          <w:sz w:val="24"/>
          <w:szCs w:val="24"/>
          <w:color w:val="000000"/>
          <w:b w:val="0"/>
          <w:i w:val="0"/>
        </w:rPr>
        <w:t>Instrumentation</w:t>
      </w:r>
      <w:r>
        <w:rPr>
          <w:rFonts w:ascii="宋体" w:hAnsi="宋体" w:eastAsia="宋体" w:cs="宋体"/>
          <w:sz w:val="24"/>
          <w:szCs w:val="24"/>
          <w:color w:val="000000"/>
          <w:b w:val="0"/>
          <w:i w:val="0"/>
        </w:rPr>
        <w:t>，其中</w:t>
      </w:r>
      <w:r>
        <w:rPr>
          <w:rFonts w:ascii="宋体" w:hAnsi="宋体" w:eastAsia="宋体" w:cs="宋体"/>
          <w:sz w:val="24"/>
          <w:szCs w:val="24"/>
          <w:color w:val="000000"/>
          <w:b w:val="0"/>
          <w:i w:val="0"/>
        </w:rPr>
        <w:t>ntuples</w:t>
      </w:r>
      <w:r>
        <w:rPr>
          <w:rFonts w:ascii="宋体" w:hAnsi="宋体" w:eastAsia="宋体" w:cs="宋体"/>
          <w:sz w:val="24"/>
          <w:szCs w:val="24"/>
          <w:color w:val="000000"/>
          <w:b w:val="0"/>
          <w:i w:val="0"/>
        </w:rPr>
        <w:t>保存截至采集时的累计返回行数A，</w:t>
      </w:r>
      <w:r>
        <w:rPr>
          <w:rFonts w:ascii="宋体" w:hAnsi="宋体" w:eastAsia="宋体" w:cs="宋体"/>
          <w:sz w:val="24"/>
          <w:szCs w:val="24"/>
          <w:color w:val="000000"/>
          <w:b w:val="0"/>
          <w:i w:val="0"/>
        </w:rPr>
        <w:t>nloops</w:t>
      </w:r>
      <w:r>
        <w:rPr>
          <w:rFonts w:ascii="宋体" w:hAnsi="宋体" w:eastAsia="宋体" w:cs="宋体"/>
          <w:sz w:val="24"/>
          <w:szCs w:val="24"/>
          <w:color w:val="000000"/>
          <w:b w:val="0"/>
          <w:i w:val="0"/>
        </w:rPr>
        <w:t>记录已结束的执行循环数，用于辅助判断统计涉及的执行次数。由此，可以取得同一计划节点的估算行数与实际返回行数。[C2]</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计划运行期间，执行器持续更新这些统计。发生超时取消时，统计采集单元在执行器清理、节点对象被释放之前，根据预先保存的节点指针读取各节点的统计，将累计返回行数、执行循环计数、调用状态和本地EOF标志，与本轮实际执行的计划一并保存并返回调优工具。随后继续原有查询取消处理，无需等待候选计划完整执行。</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调用状态根据执行统计中的调用起始时间判断。起始时间的秒、微秒分量至少有一个非零时，记为</w:t>
      </w:r>
      <w:r>
        <w:rPr>
          <w:rFonts w:ascii="宋体" w:hAnsi="宋体" w:eastAsia="宋体" w:cs="宋体"/>
          <w:sz w:val="24"/>
          <w:szCs w:val="24"/>
          <w:color w:val="000000"/>
          <w:b w:val="0"/>
          <w:i w:val="0"/>
        </w:rPr>
        <w:t>active=true</w:t>
      </w:r>
      <w:r>
        <w:rPr>
          <w:rFonts w:ascii="宋体" w:hAnsi="宋体" w:eastAsia="宋体" w:cs="宋体"/>
          <w:sz w:val="24"/>
          <w:szCs w:val="24"/>
          <w:color w:val="000000"/>
          <w:b w:val="0"/>
          <w:i w:val="0"/>
        </w:rPr>
        <w:t>，表示仍有取下一行数据的调用（</w:t>
      </w:r>
      <w:r>
        <w:rPr>
          <w:rFonts w:ascii="宋体" w:hAnsi="宋体" w:eastAsia="宋体" w:cs="宋体"/>
          <w:sz w:val="24"/>
          <w:szCs w:val="24"/>
          <w:color w:val="000000"/>
          <w:b w:val="0"/>
          <w:i w:val="0"/>
        </w:rPr>
        <w:t>get_next</w:t>
      </w:r>
      <w:r>
        <w:rPr>
          <w:rFonts w:ascii="宋体" w:hAnsi="宋体" w:eastAsia="宋体" w:cs="宋体"/>
          <w:sz w:val="24"/>
          <w:szCs w:val="24"/>
          <w:color w:val="000000"/>
          <w:b w:val="0"/>
          <w:i w:val="0"/>
        </w:rPr>
        <w:t>）正在进行；两者均为零时，记为</w:t>
      </w:r>
      <w:r>
        <w:rPr>
          <w:rFonts w:ascii="宋体" w:hAnsi="宋体" w:eastAsia="宋体" w:cs="宋体"/>
          <w:sz w:val="24"/>
          <w:szCs w:val="24"/>
          <w:color w:val="000000"/>
          <w:b w:val="0"/>
          <w:i w:val="0"/>
        </w:rPr>
        <w:t>active=false</w:t>
      </w:r>
      <w:r>
        <w:rPr>
          <w:rFonts w:ascii="宋体" w:hAnsi="宋体" w:eastAsia="宋体" w:cs="宋体"/>
          <w:sz w:val="24"/>
          <w:szCs w:val="24"/>
          <w:color w:val="000000"/>
          <w:b w:val="0"/>
          <w:i w:val="0"/>
        </w:rPr>
        <w:t>。</w:t>
      </w:r>
      <w:r>
        <w:rPr>
          <w:rFonts w:ascii="宋体" w:hAnsi="宋体" w:eastAsia="宋体" w:cs="宋体"/>
          <w:sz w:val="24"/>
          <w:szCs w:val="24"/>
          <w:color w:val="000000"/>
          <w:b w:val="0"/>
          <w:i w:val="0"/>
        </w:rPr>
        <w:t>Instrumentation</w:t>
      </w:r>
      <w:r>
        <w:rPr>
          <w:rFonts w:ascii="宋体" w:hAnsi="宋体" w:eastAsia="宋体" w:cs="宋体"/>
          <w:sz w:val="24"/>
          <w:szCs w:val="24"/>
          <w:color w:val="000000"/>
          <w:b w:val="0"/>
          <w:i w:val="0"/>
        </w:rPr>
        <w:t>的</w:t>
      </w:r>
      <w:r>
        <w:rPr>
          <w:rFonts w:ascii="宋体" w:hAnsi="宋体" w:eastAsia="宋体" w:cs="宋体"/>
          <w:sz w:val="24"/>
          <w:szCs w:val="24"/>
          <w:color w:val="000000"/>
          <w:b w:val="0"/>
          <w:i w:val="0"/>
        </w:rPr>
        <w:t>status</w:t>
      </w:r>
      <w:r>
        <w:rPr>
          <w:rFonts w:ascii="宋体" w:hAnsi="宋体" w:eastAsia="宋体" w:cs="宋体"/>
          <w:sz w:val="24"/>
          <w:szCs w:val="24"/>
          <w:color w:val="000000"/>
          <w:b w:val="0"/>
          <w:i w:val="0"/>
        </w:rPr>
        <w:t>字段非零，表示该节点在本地读到过EOF；该字段非零且</w:t>
      </w:r>
      <w:r>
        <w:rPr>
          <w:rFonts w:ascii="宋体" w:hAnsi="宋体" w:eastAsia="宋体" w:cs="宋体"/>
          <w:sz w:val="24"/>
          <w:szCs w:val="24"/>
          <w:color w:val="000000"/>
          <w:b w:val="0"/>
          <w:i w:val="0"/>
        </w:rPr>
        <w:t>active=false</w:t>
      </w:r>
      <w:r>
        <w:rPr>
          <w:rFonts w:ascii="宋体" w:hAnsi="宋体" w:eastAsia="宋体" w:cs="宋体"/>
          <w:sz w:val="24"/>
          <w:szCs w:val="24"/>
          <w:color w:val="000000"/>
          <w:b w:val="0"/>
          <w:i w:val="0"/>
        </w:rPr>
        <w:t>时，记为</w:t>
      </w:r>
      <w:r>
        <w:rPr>
          <w:rFonts w:ascii="宋体" w:hAnsi="宋体" w:eastAsia="宋体" w:cs="宋体"/>
          <w:sz w:val="24"/>
          <w:szCs w:val="24"/>
          <w:color w:val="000000"/>
          <w:b w:val="0"/>
          <w:i w:val="0"/>
        </w:rPr>
        <w:t>terminal=true</w:t>
      </w:r>
      <w:r>
        <w:rPr>
          <w:rFonts w:ascii="宋体" w:hAnsi="宋体" w:eastAsia="宋体" w:cs="宋体"/>
          <w:sz w:val="24"/>
          <w:szCs w:val="24"/>
          <w:color w:val="000000"/>
          <w:b w:val="0"/>
          <w:i w:val="0"/>
        </w:rPr>
        <w:t>，表示本地已读到EOF，且当前没有取数调用正在进行。本地EOF并不保证该节点以后不会再次执行，是否已返回全部相关行数，按实施例三进一步判断。[C2]</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没有执行统计对象或没有执行记录的节点，本轮不提供实际行数；已经执行但没有输出的节点，可以记录A=0。</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调优工具根据保存的计划与节点统计，按照实施例三、四判定并合并可用行数，再用于下一轮规划。正常完成的计划也可采用相同的行数判定和反馈合并过程。</w:t>
      </w:r>
    </w:p>
    <w:p>
      <w:pPr>
        <w:pStyle w:val="Heading3"/>
        <w:keepNext/>
        <w:widowControl/>
        <w:spacing w:line="360" w:lineRule="auto" w:before="240" w:after="120"/>
        <w:ind w:firstLine="0" w:firstLineChars="0"/>
        <w:autoSpaceDE w:val="0"/>
        <w:autoSpaceDN w:val="0"/>
      </w:pPr>
      <w:r>
        <w:rPr>
          <w:rFonts w:ascii="宋体" w:hAnsi="宋体" w:eastAsia="宋体" w:cs="宋体"/>
          <w:sz w:val="24"/>
          <w:szCs w:val="24"/>
          <w:color w:val="000000"/>
          <w:b w:val="1"/>
          <w:i w:val="0"/>
        </w:rPr>
        <w:t>本发明实施例三：节点行数的适用条件与再次执行判定</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本实施例说明哪些节点行数可以用于基数反馈。将下一轮需要修正行数估算的一个扫描结果或连接结果称为反馈目标，记为</w:t>
      </w:r>
      <w:r>
        <w:rPr>
          <w:rFonts w:ascii="宋体" w:hAnsi="宋体" w:eastAsia="宋体" w:cs="宋体"/>
          <w:sz w:val="24"/>
          <w:szCs w:val="24"/>
          <w:color w:val="000000"/>
          <w:b w:val="0"/>
          <w:i w:val="0"/>
        </w:rPr>
        <w:t>k</w:t>
      </w:r>
      <w:r>
        <w:rPr>
          <w:rFonts w:ascii="宋体" w:hAnsi="宋体" w:eastAsia="宋体" w:cs="宋体"/>
          <w:sz w:val="24"/>
          <w:szCs w:val="24"/>
          <w:color w:val="000000"/>
          <w:b w:val="0"/>
          <w:i w:val="0"/>
        </w:rPr>
        <w:t>。确定目标时，需要同时考虑查询块、关系或中间关系、谓词、连接类型、运行参数和数据可见范围。节点ID用于找到本轮的物理节点；不同轮次可以使用不同物理节点来计算同一反馈目标。</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对目标k，先确认实际行数与估算行数对应相同的执行次数和并行汇总范围。两者可以比较时，将本轮估算记为</w:t>
      </w:r>
      <w:r>
        <w:rPr>
          <w:rFonts w:ascii="宋体" w:hAnsi="宋体" w:eastAsia="宋体" w:cs="宋体"/>
          <w:sz w:val="24"/>
          <w:szCs w:val="24"/>
          <w:color w:val="000000"/>
          <w:b w:val="0"/>
          <w:i w:val="0"/>
        </w:rPr>
        <w:t>E_i(k)</w:t>
      </w:r>
      <w:r>
        <w:rPr>
          <w:rFonts w:ascii="宋体" w:hAnsi="宋体" w:eastAsia="宋体" w:cs="宋体"/>
          <w:sz w:val="24"/>
          <w:szCs w:val="24"/>
          <w:color w:val="000000"/>
          <w:b w:val="0"/>
          <w:i w:val="0"/>
        </w:rPr>
        <w:t>，截至采集时点</w:t>
      </w:r>
      <w:r>
        <w:rPr>
          <w:rFonts w:ascii="宋体" w:hAnsi="宋体" w:eastAsia="宋体" w:cs="宋体"/>
          <w:sz w:val="24"/>
          <w:szCs w:val="24"/>
          <w:color w:val="000000"/>
          <w:b w:val="0"/>
          <w:i w:val="0"/>
        </w:rPr>
        <w:t>t_i</w:t>
      </w:r>
      <w:r>
        <w:rPr>
          <w:rFonts w:ascii="宋体" w:hAnsi="宋体" w:eastAsia="宋体" w:cs="宋体"/>
          <w:sz w:val="24"/>
          <w:szCs w:val="24"/>
          <w:color w:val="000000"/>
          <w:b w:val="0"/>
          <w:i w:val="0"/>
        </w:rPr>
        <w:t>的已返回行数记为</w:t>
      </w:r>
      <w:r>
        <w:rPr>
          <w:rFonts w:ascii="宋体" w:hAnsi="宋体" w:eastAsia="宋体" w:cs="宋体"/>
          <w:sz w:val="24"/>
          <w:szCs w:val="24"/>
          <w:color w:val="000000"/>
          <w:b w:val="0"/>
          <w:i w:val="0"/>
        </w:rPr>
        <w:t>A_i(k,t_i)</w:t>
      </w:r>
      <w:r>
        <w:rPr>
          <w:rFonts w:ascii="宋体" w:hAnsi="宋体" w:eastAsia="宋体" w:cs="宋体"/>
          <w:sz w:val="24"/>
          <w:szCs w:val="24"/>
          <w:color w:val="000000"/>
          <w:b w:val="0"/>
          <w:i w:val="0"/>
        </w:rPr>
        <w:t>。如果计划继续执行到该目标在限定范围内的全部调用结束，最终返回行数记为</w:t>
      </w:r>
      <w:r>
        <w:rPr>
          <w:rFonts w:ascii="宋体" w:hAnsi="宋体" w:eastAsia="宋体" w:cs="宋体"/>
          <w:sz w:val="24"/>
          <w:szCs w:val="24"/>
          <w:color w:val="000000"/>
          <w:b w:val="0"/>
          <w:i w:val="0"/>
        </w:rPr>
        <w:t>C_i(k)</w:t>
      </w:r>
      <w:r>
        <w:rPr>
          <w:rFonts w:ascii="宋体" w:hAnsi="宋体" w:eastAsia="宋体" w:cs="宋体"/>
          <w:sz w:val="24"/>
          <w:szCs w:val="24"/>
          <w:color w:val="000000"/>
          <w:b w:val="0"/>
          <w:i w:val="0"/>
        </w:rPr>
        <w:t>。无法确定目标或统一计数范围时，本轮不使用该节点的行数。</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调优工具根据本地EOF、父子调用关系和统计覆盖范围，判断该目标的全部相关行数是否已经返回。只有确认计划若继续执行，与该目标对应的算子也不会再产生输出时，才能将已有行数作为精确值。一次调用返回EOF只能说明本次已读到数据流末尾，Nested Loop内侧算子或参数化子计划仍可能在后续输入到来时再次执行。对可能随外侧输入或相关参数变化而再次执行的节点，调优工具继续检查驱动它的父算子是否还会提供输入；无法排除后续相关调用时，不采用精确行数。此前尚未发生重复执行，不能代替这项判断。</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父算子达到Limit等要求而提前停止取数，或者取消清理导致节点停止时，如果不能确认该目标的结果已全部返回，就仍将其作为未完成统计处理。即使整条查询正常完成，未被全部读取的子节点也需要按相同条件检查。只有实际行数与估算行数能够比较、且已返回量仍是同一目标最终行数的下界时，才继续判断是否采用下界；不能确认这些条件时，本轮不使用该统计。[R1][R28]</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以Nested Loop的内侧Join节点为例，该节点处理第一条外侧输入时返回两行，然后读到本地EOF；采集时还没有发生重复执行，但下一条外侧输入仍可能使它再次运行。只有当反馈目标限定为这一次调用，或者已经确认父算子不会再调用它时，才能将这两行作为该目标的精确行数。</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另一例中，节点每次执行估算十行，实际执行二十次，每次返回五行。累计实际行数是一百行，不能直接与单次估算十行比较。应比较单次实际五行与估算十行，或比较累计实际一百行与二十次执行的估算二百行。如果无法取得相同执行次数下的统计，本轮不反馈该节点的行数。</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对于通过</w:t>
      </w:r>
      <w:r>
        <w:rPr>
          <w:rFonts w:ascii="宋体" w:hAnsi="宋体" w:eastAsia="宋体" w:cs="宋体"/>
          <w:sz w:val="24"/>
          <w:szCs w:val="24"/>
          <w:color w:val="000000"/>
          <w:b w:val="0"/>
          <w:i w:val="0"/>
        </w:rPr>
        <w:t>MultiExec</w:t>
      </w:r>
      <w:r>
        <w:rPr>
          <w:rFonts w:ascii="宋体" w:hAnsi="宋体" w:eastAsia="宋体" w:cs="宋体"/>
          <w:sz w:val="24"/>
          <w:szCs w:val="24"/>
          <w:color w:val="000000"/>
          <w:b w:val="0"/>
          <w:i w:val="0"/>
        </w:rPr>
        <w:t>接口提供结果的Hash节点、并行节点和参数化子计划，如果无法明确统计范围或后续调用关系，也不采用相应行数反馈。</w:t>
      </w:r>
    </w:p>
    <w:p>
      <w:pPr>
        <w:pStyle w:val="Heading3"/>
        <w:keepNext/>
        <w:widowControl/>
        <w:spacing w:line="360" w:lineRule="auto" w:before="240" w:after="120"/>
        <w:ind w:firstLine="0" w:firstLineChars="0"/>
        <w:autoSpaceDE w:val="0"/>
        <w:autoSpaceDN w:val="0"/>
      </w:pPr>
      <w:r>
        <w:rPr>
          <w:rFonts w:ascii="宋体" w:hAnsi="宋体" w:eastAsia="宋体" w:cs="宋体"/>
          <w:sz w:val="24"/>
          <w:szCs w:val="24"/>
          <w:color w:val="000000"/>
          <w:b w:val="1"/>
          <w:i w:val="0"/>
        </w:rPr>
        <w:t>本发明实施例四：节点行数反馈的分类、合并与下一轮应用</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本实施例说明如何将可用的节点行数分类、合并，再用于下一轮候选计划。设调优工具已为反馈目标k保存的规划输入值为</w:t>
      </w:r>
      <w:r>
        <w:rPr>
          <w:rFonts w:ascii="宋体" w:hAnsi="宋体" w:eastAsia="宋体" w:cs="宋体"/>
          <w:sz w:val="24"/>
          <w:szCs w:val="24"/>
          <w:color w:val="000000"/>
          <w:b w:val="0"/>
          <w:i w:val="0"/>
        </w:rPr>
        <w:t>B_i(k)</w:t>
      </w:r>
      <w:r>
        <w:rPr>
          <w:rFonts w:ascii="宋体" w:hAnsi="宋体" w:eastAsia="宋体" w:cs="宋体"/>
          <w:sz w:val="24"/>
          <w:szCs w:val="24"/>
          <w:color w:val="000000"/>
          <w:b w:val="0"/>
          <w:i w:val="0"/>
        </w:rPr>
        <w:t>。本轮计划的估算行数记为</w:t>
      </w:r>
      <w:r>
        <w:rPr>
          <w:rFonts w:ascii="宋体" w:hAnsi="宋体" w:eastAsia="宋体" w:cs="宋体"/>
          <w:sz w:val="24"/>
          <w:szCs w:val="24"/>
          <w:color w:val="000000"/>
          <w:b w:val="0"/>
          <w:i w:val="0"/>
        </w:rPr>
        <w:t>E_i(k)</w:t>
      </w:r>
      <w:r>
        <w:rPr>
          <w:rFonts w:ascii="宋体" w:hAnsi="宋体" w:eastAsia="宋体" w:cs="宋体"/>
          <w:sz w:val="24"/>
          <w:szCs w:val="24"/>
          <w:color w:val="000000"/>
          <w:b w:val="0"/>
          <w:i w:val="0"/>
        </w:rPr>
        <w:t>，采集时已返回行数记为</w:t>
      </w:r>
      <w:r>
        <w:rPr>
          <w:rFonts w:ascii="宋体" w:hAnsi="宋体" w:eastAsia="宋体" w:cs="宋体"/>
          <w:sz w:val="24"/>
          <w:szCs w:val="24"/>
          <w:color w:val="000000"/>
          <w:b w:val="0"/>
          <w:i w:val="0"/>
        </w:rPr>
        <w:t>A_i</w:t>
      </w:r>
      <w:r>
        <w:rPr>
          <w:rFonts w:ascii="宋体" w:hAnsi="宋体" w:eastAsia="宋体" w:cs="宋体"/>
          <w:sz w:val="24"/>
          <w:szCs w:val="24"/>
          <w:color w:val="000000"/>
          <w:b w:val="0"/>
          <w:i w:val="0"/>
        </w:rPr>
        <w:t>。调优工具将合并后的值写入Rows Hint，供下一轮规划使用，也可以使用其他能够修正基数的优化器接口。E与B分别表示实际计划中的估算和调优工具保存的输入，判断反馈类型时比较A与E，合并反馈时比较新反馈与B。</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对同一目标k，确认全部相关行数已返回时，</w:t>
      </w:r>
      <w:r>
        <w:rPr>
          <w:rFonts w:ascii="宋体" w:hAnsi="宋体" w:eastAsia="宋体" w:cs="宋体"/>
          <w:sz w:val="24"/>
          <w:szCs w:val="24"/>
          <w:color w:val="000000"/>
          <w:b w:val="0"/>
          <w:i w:val="0"/>
        </w:rPr>
        <w:t>A_i=C_i</w:t>
      </w:r>
      <w:r>
        <w:rPr>
          <w:rFonts w:ascii="宋体" w:hAnsi="宋体" w:eastAsia="宋体" w:cs="宋体"/>
          <w:sz w:val="24"/>
          <w:szCs w:val="24"/>
          <w:color w:val="000000"/>
          <w:b w:val="0"/>
          <w:i w:val="0"/>
        </w:rPr>
        <w:t>，记录精确行数</w:t>
      </w:r>
      <w:r>
        <w:rPr>
          <w:rFonts w:ascii="宋体" w:hAnsi="宋体" w:eastAsia="宋体" w:cs="宋体"/>
          <w:sz w:val="24"/>
          <w:szCs w:val="24"/>
          <w:color w:val="000000"/>
          <w:b w:val="0"/>
          <w:i w:val="0"/>
        </w:rPr>
        <w:t>EXACT(A_i)</w:t>
      </w:r>
      <w:r>
        <w:rPr>
          <w:rFonts w:ascii="宋体" w:hAnsi="宋体" w:eastAsia="宋体" w:cs="宋体"/>
          <w:sz w:val="24"/>
          <w:szCs w:val="24"/>
          <w:color w:val="000000"/>
          <w:b w:val="0"/>
          <w:i w:val="0"/>
        </w:rPr>
        <w:t>；尚不能确认结果已全部返回，但已返回量在同一计数范围内只会累加时，</w:t>
      </w:r>
      <w:r>
        <w:rPr>
          <w:rFonts w:ascii="宋体" w:hAnsi="宋体" w:eastAsia="宋体" w:cs="宋体"/>
          <w:sz w:val="24"/>
          <w:szCs w:val="24"/>
          <w:color w:val="000000"/>
          <w:b w:val="0"/>
          <w:i w:val="0"/>
        </w:rPr>
        <w:t>A_i≤C_i</w:t>
      </w:r>
      <w:r>
        <w:rPr>
          <w:rFonts w:ascii="宋体" w:hAnsi="宋体" w:eastAsia="宋体" w:cs="宋体"/>
          <w:sz w:val="24"/>
          <w:szCs w:val="24"/>
          <w:color w:val="000000"/>
          <w:b w:val="0"/>
          <w:i w:val="0"/>
        </w:rPr>
        <w:t>，且只有在</w:t>
      </w:r>
      <w:r>
        <w:rPr>
          <w:rFonts w:ascii="宋体" w:hAnsi="宋体" w:eastAsia="宋体" w:cs="宋体"/>
          <w:sz w:val="24"/>
          <w:szCs w:val="24"/>
          <w:color w:val="000000"/>
          <w:b w:val="0"/>
          <w:i w:val="0"/>
        </w:rPr>
        <w:t>A_i&gt;E_i</w:t>
      </w:r>
      <w:r>
        <w:rPr>
          <w:rFonts w:ascii="宋体" w:hAnsi="宋体" w:eastAsia="宋体" w:cs="宋体"/>
          <w:sz w:val="24"/>
          <w:szCs w:val="24"/>
          <w:color w:val="000000"/>
          <w:b w:val="0"/>
          <w:i w:val="0"/>
        </w:rPr>
        <w:t>时记录行数下界</w:t>
      </w:r>
      <w:r>
        <w:rPr>
          <w:rFonts w:ascii="宋体" w:hAnsi="宋体" w:eastAsia="宋体" w:cs="宋体"/>
          <w:sz w:val="24"/>
          <w:szCs w:val="24"/>
          <w:color w:val="000000"/>
          <w:b w:val="0"/>
          <w:i w:val="0"/>
        </w:rPr>
        <w:t>LOWER_BOUND(A_i)</w:t>
      </w:r>
      <w:r>
        <w:rPr>
          <w:rFonts w:ascii="宋体" w:hAnsi="宋体" w:eastAsia="宋体" w:cs="宋体"/>
          <w:sz w:val="24"/>
          <w:szCs w:val="24"/>
          <w:color w:val="000000"/>
          <w:b w:val="0"/>
          <w:i w:val="0"/>
        </w:rPr>
        <w:t>。节点未执行、统计无法比较，或者未确认结束且</w:t>
      </w:r>
      <w:r>
        <w:rPr>
          <w:rFonts w:ascii="宋体" w:hAnsi="宋体" w:eastAsia="宋体" w:cs="宋体"/>
          <w:sz w:val="24"/>
          <w:szCs w:val="24"/>
          <w:color w:val="000000"/>
          <w:b w:val="0"/>
          <w:i w:val="0"/>
        </w:rPr>
        <w:t>A_i≤E_i</w:t>
      </w:r>
      <w:r>
        <w:rPr>
          <w:rFonts w:ascii="宋体" w:hAnsi="宋体" w:eastAsia="宋体" w:cs="宋体"/>
          <w:sz w:val="24"/>
          <w:szCs w:val="24"/>
          <w:color w:val="000000"/>
          <w:b w:val="0"/>
          <w:i w:val="0"/>
        </w:rPr>
        <w:t>时，不生成行数反馈，记为</w:t>
      </w:r>
      <w:r>
        <w:rPr>
          <w:rFonts w:ascii="宋体" w:hAnsi="宋体" w:eastAsia="宋体" w:cs="宋体"/>
          <w:sz w:val="24"/>
          <w:szCs w:val="24"/>
          <w:color w:val="000000"/>
          <w:b w:val="0"/>
          <w:i w:val="0"/>
        </w:rPr>
        <w:t>NONE</w:t>
      </w:r>
      <w:r>
        <w:rPr>
          <w:rFonts w:ascii="宋体" w:hAnsi="宋体" w:eastAsia="宋体" w:cs="宋体"/>
          <w:sz w:val="24"/>
          <w:szCs w:val="24"/>
          <w:color w:val="000000"/>
          <w:b w:val="0"/>
          <w:i w:val="0"/>
        </w:rPr>
        <w:t>。</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无法确认统计对应的反馈目标，或无法统一参数化调用范围、执行次数及并行计数时，分类结果为</w:t>
      </w:r>
      <w:r>
        <w:rPr>
          <w:rFonts w:ascii="宋体" w:hAnsi="宋体" w:eastAsia="宋体" w:cs="宋体"/>
          <w:sz w:val="24"/>
          <w:szCs w:val="24"/>
          <w:color w:val="000000"/>
          <w:b w:val="0"/>
          <w:i w:val="0"/>
        </w:rPr>
        <w:t>NONE</w:t>
      </w:r>
      <w:r>
        <w:rPr>
          <w:rFonts w:ascii="宋体" w:hAnsi="宋体" w:eastAsia="宋体" w:cs="宋体"/>
          <w:sz w:val="24"/>
          <w:szCs w:val="24"/>
          <w:color w:val="000000"/>
          <w:b w:val="0"/>
          <w:i w:val="0"/>
        </w:rPr>
        <w:t>。</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跨轮合并仅针对含义、运行参数、数据可见范围和统计范围一致的反馈目标，且此前保存的统计仍然适用。相关条件发生变化时，不再使用原统计，并为变化后的目标重新收集反馈。若同一目标出现精确行数低于已有有效下界，或新下界高于仍适用的精确行数，则相应统计不满足本实施例的合并条件，在重新确认目标与统计范围前不作为本轮合并输入。</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取得适用的精确行数时，用它替换已保存的值，同时清除旧下界。精确行数可以提高偏低的原估算，也可以降低偏高的原估算。尚无精确值时，多个可用下界取最大值，且不降低当前保存值；已有仍然适用的精确值时，下界不替换该精确值。采样结果不覆盖已经确认并采用的精确行数或下界。[C4]</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例如，先前采样得到5000行，后来取得精确行数1200时，可以将保存值降低到1200。先前已经取得的有效下界若为6400，则同一目标在相同统计范围内的精确行数不能是4800；这类矛盾按前述适用条件处理。若输出接口只接受正整数，则仅在生成Hint时将零行转换为接口允许的最小值1，同时保存原始精确值</w:t>
      </w:r>
      <w:r>
        <w:rPr>
          <w:rFonts w:ascii="宋体" w:hAnsi="宋体" w:eastAsia="宋体" w:cs="宋体"/>
          <w:sz w:val="24"/>
          <w:szCs w:val="24"/>
          <w:color w:val="000000"/>
          <w:b w:val="0"/>
          <w:i w:val="0"/>
        </w:rPr>
        <w:t>EXACT(0)</w:t>
      </w:r>
      <w:r>
        <w:rPr>
          <w:rFonts w:ascii="宋体" w:hAnsi="宋体" w:eastAsia="宋体" w:cs="宋体"/>
          <w:sz w:val="24"/>
          <w:szCs w:val="24"/>
          <w:color w:val="000000"/>
          <w:b w:val="0"/>
          <w:i w:val="0"/>
        </w:rPr>
        <w:t>。[C4]</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以完整的分类和更新过程为例，设初始保存值B为5000，本轮该目标的估算行数E也为5000。节点尚未返回全部结果且A为2400时，由于A≤E，本轮不生成反馈，保存值仍为5000。后续试运行中，若同一目标的E仍为5000，且已返回行数达到6400并满足执行次数和统计范围一致等条件，则记录下界6400，并将保存值提高到6400。此后确认该目标的全部相关行数均已返回，取得精确行数7200时，将保存值更新为7200。</w:t>
      </w:r>
    </w:p>
    <w:p>
      <w:pPr>
        <w:pStyle w:val="Heading1"/>
        <w:keepNext/>
        <w:widowControl/>
        <w:spacing w:line="360" w:lineRule="auto" w:before="240" w:after="120"/>
        <w:ind w:firstLine="0" w:firstLineChars="0"/>
        <w:autoSpaceDE w:val="0"/>
        <w:autoSpaceDN w:val="0"/>
      </w:pPr>
      <w:r>
        <w:rPr>
          <w:rFonts w:ascii="宋体" w:hAnsi="宋体" w:eastAsia="宋体" w:cs="宋体"/>
          <w:sz w:val="28"/>
          <w:szCs w:val="28"/>
          <w:color w:val="000000"/>
          <w:b w:val="1"/>
          <w:i w:val="0"/>
        </w:rPr>
        <w:t>本发明的主要创新点及其对应的技术效果</w:t>
      </w:r>
    </w:p>
    <w:p>
      <w:pPr>
        <w:pStyle w:val="Heading2"/>
        <w:keepNext/>
        <w:widowControl/>
        <w:spacing w:line="360" w:lineRule="auto" w:before="240" w:after="120"/>
        <w:ind w:firstLine="0" w:firstLineChars="0"/>
        <w:autoSpaceDE w:val="0"/>
        <w:autoSpaceDN w:val="0"/>
      </w:pPr>
      <w:r>
        <w:rPr>
          <w:rFonts w:ascii="宋体" w:hAnsi="宋体" w:eastAsia="宋体" w:cs="宋体"/>
          <w:sz w:val="26"/>
          <w:szCs w:val="26"/>
          <w:color w:val="000000"/>
          <w:b w:val="1"/>
          <w:i w:val="0"/>
        </w:rPr>
        <w:t>主要创新点</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本发明将限时试运行、取消时统计采集、行数判定、跨轮合并和下一轮规划结合，用于同一SQL的迭代调优。</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为每轮候选计划设置执行期限；计划超时取消时，在执行器清理前保存本轮实际执行的计划，以及节点估算行数、累计返回行数和执行状态，使尚未完成的试运行仍可提供后续分析依据。</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结合统计所对应的扫描或连接、父子调用关系和计数范围，检查全部相关行数是否已返回，以及实际行数与估算行数能否直接比较，据此区分精确行数、可用下界或无反馈。</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在同一反馈目标及统计仍然适用的前提下，用精确行数替换已保存的估算值；尚无精确值时，仅通过有效下界提高原值，多个下界取最大值；没有可用反馈时保持原值。</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将合并后的行数值用于下一轮独立规划。正常完成与超时取消均可提供满足条件的行数反馈，完整运行时间另行用于比较候选性能和调整后续执行期限。</w:t>
      </w:r>
    </w:p>
    <w:p>
      <w:pPr>
        <w:pStyle w:val="Heading2"/>
        <w:keepNext/>
        <w:widowControl/>
        <w:spacing w:line="360" w:lineRule="auto" w:before="240" w:after="120"/>
        <w:ind w:firstLine="0" w:firstLineChars="0"/>
        <w:autoSpaceDE w:val="0"/>
        <w:autoSpaceDN w:val="0"/>
      </w:pPr>
      <w:r>
        <w:rPr>
          <w:rFonts w:ascii="宋体" w:hAnsi="宋体" w:eastAsia="宋体" w:cs="宋体"/>
          <w:sz w:val="26"/>
          <w:szCs w:val="26"/>
          <w:color w:val="000000"/>
          <w:b w:val="1"/>
          <w:i w:val="0"/>
        </w:rPr>
        <w:t>对应的技术效果</w:t>
      </w:r>
    </w:p>
    <w:p>
      <w:pPr>
        <w:pStyle w:val="Heading3"/>
        <w:keepNext/>
        <w:widowControl/>
        <w:spacing w:line="360" w:lineRule="auto" w:before="240" w:after="120"/>
        <w:ind w:firstLine="0" w:firstLineChars="0"/>
        <w:autoSpaceDE w:val="0"/>
        <w:autoSpaceDN w:val="0"/>
      </w:pPr>
      <w:r>
        <w:rPr>
          <w:rFonts w:ascii="宋体" w:hAnsi="宋体" w:eastAsia="宋体" w:cs="宋体"/>
          <w:sz w:val="24"/>
          <w:szCs w:val="24"/>
          <w:color w:val="000000"/>
          <w:b w:val="1"/>
          <w:i w:val="0"/>
        </w:rPr>
        <w:t>控制单轮试运行时间，保留有效反馈，降低整体调优耗时</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候选计划达到期限后，调优工具取消本轮执行，并在执行器清理前保存可用节点统计，从而限制单个慢计划持续占用调优时间。满足条件的行数继续用于下一轮基数修正，使本次试运行已经取得的信息仍能发挥作用。</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在全局搜索预算300秒、patience为5、初始采样块数1000且关闭外置优化器的历史对照配置下，JOB的113条查询汇总调优时长从2348.17秒降至1599.41秒，减少748.76秒，降幅为31.89%，约为32%；JOB-complex的30条查询从1001.57秒降至582.56秒，减少419.02秒，降幅为41.84%，约为42%。差额和降幅均根据未舍入的数据计算。两组使用不同代码版本，这些数值反映该批版本和配置下观察到的整体调优耗时变化。单轮期限限制的是候选计划的试运行，整轮调优还包括规划、取消清理和统计处理等开销。[E1][E2][E3]</w:t>
      </w:r>
    </w:p>
    <w:p>
      <w:pPr>
        <w:pStyle w:val="Heading3"/>
        <w:keepNext/>
        <w:widowControl/>
        <w:spacing w:line="360" w:lineRule="auto" w:before="240" w:after="120"/>
        <w:ind w:firstLine="0" w:firstLineChars="0"/>
        <w:autoSpaceDE w:val="0"/>
        <w:autoSpaceDN w:val="0"/>
      </w:pPr>
      <w:r>
        <w:rPr>
          <w:rFonts w:ascii="宋体" w:hAnsi="宋体" w:eastAsia="宋体" w:cs="宋体"/>
          <w:sz w:val="24"/>
          <w:szCs w:val="24"/>
          <w:color w:val="000000"/>
          <w:b w:val="1"/>
          <w:i w:val="0"/>
        </w:rPr>
        <w:t>为全局预算内的后续有效迭代争取时间，增加发现更优计划的机会</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当本轮取得的可用统计能够改变下一轮规划输入，且停止条件允许继续时，调优工具可以在当前慢计划未执行完毕的情况下，使用已有反馈生成下一轮计划。减少等待所节省的时间可用于后续规划与试运行，增加在有限调优时间内发现更优计划的机会。</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以JOB</w:t>
      </w:r>
      <w:r>
        <w:rPr>
          <w:rFonts w:ascii="宋体" w:hAnsi="宋体" w:eastAsia="宋体" w:cs="宋体"/>
          <w:sz w:val="24"/>
          <w:szCs w:val="24"/>
          <w:color w:val="000000"/>
          <w:b w:val="0"/>
          <w:i w:val="0"/>
        </w:rPr>
        <w:t>16b</w:t>
      </w:r>
      <w:r>
        <w:rPr>
          <w:rFonts w:ascii="宋体" w:hAnsi="宋体" w:eastAsia="宋体" w:cs="宋体"/>
          <w:sz w:val="24"/>
          <w:szCs w:val="24"/>
          <w:color w:val="000000"/>
          <w:b w:val="0"/>
          <w:i w:val="0"/>
        </w:rPr>
        <w:t>为例，无单轮执行期限组进行了4轮反馈后触发全局预算停止条件，正式交付计划的独立完整执行时间约为36秒；初始单轮期限为10秒的组进行了11轮部分反馈迭代，随后因收敛停止。根据该组累计Rows Hint恢复的候选，在后续独立完整执行中的耗时约为11秒，但该候选在原调优过程中未正式交付。该例表明，部分反馈可以支持后续迭代形成更快的候选计划，其最终交付仍需完整执行评价。[E2][E3][E4]</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实际迭代次数由反馈是否发生变化、候选计划的耗时及停止条件共同决定。在本次对照中，JOB的总轮次从569变为528，JOB-complex从166变为182。最终计划的性能仍需通过完整执行另行评价。</w:t>
      </w:r>
    </w:p>
    <w:p>
      <w:pPr>
        <w:pStyle w:val="Heading1"/>
        <w:keepNext/>
        <w:widowControl/>
        <w:spacing w:line="360" w:lineRule="auto" w:before="240" w:after="120"/>
        <w:ind w:firstLine="0" w:firstLineChars="0"/>
        <w:autoSpaceDE w:val="0"/>
        <w:autoSpaceDN w:val="0"/>
      </w:pPr>
      <w:r>
        <w:rPr>
          <w:rFonts w:ascii="宋体" w:hAnsi="宋体" w:eastAsia="宋体" w:cs="宋体"/>
          <w:sz w:val="28"/>
          <w:szCs w:val="28"/>
          <w:color w:val="000000"/>
          <w:b w:val="1"/>
          <w:i w:val="0"/>
        </w:rPr>
        <w:t>参考资料</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[R1] Stillger等，</w:t>
      </w:r>
      <w:r>
        <w:rPr>
          <w:rFonts w:ascii="宋体" w:hAnsi="宋体" w:eastAsia="宋体" w:cs="宋体"/>
          <w:sz w:val="24"/>
          <w:szCs w:val="24"/>
          <w:color w:val="000000"/>
          <w:b w:val="0"/>
          <w:i w:val="1"/>
        </w:rPr>
        <w:t>LEO - DB2's LEarning Optimizer</w:t>
      </w:r>
      <w:r>
        <w:rPr>
          <w:rFonts w:ascii="宋体" w:hAnsi="宋体" w:eastAsia="宋体" w:cs="宋体"/>
          <w:sz w:val="24"/>
          <w:szCs w:val="24"/>
          <w:color w:val="000000"/>
          <w:b w:val="0"/>
          <w:i w:val="0"/>
        </w:rPr>
        <w:t>，VLDB 2001，</w:t>
      </w:r>
      <w:hyperlink r:id="rId9">
        <w:r>
          <w:rPr>
            <w:rFonts w:ascii="宋体" w:hAnsi="宋体" w:eastAsia="宋体" w:cs="宋体"/>
            <w:sz w:val="24"/>
            <w:szCs w:val="24"/>
            <w:color w:val="000000"/>
            <w:b w:val="0"/>
            <w:i w:val="0"/>
          </w:rPr>
          <w:t>本地论文PDF</w:t>
        </w:r>
      </w:hyperlink>
      <w:r>
        <w:rPr>
          <w:rFonts w:ascii="宋体" w:hAnsi="宋体" w:eastAsia="宋体" w:cs="宋体"/>
          <w:sz w:val="24"/>
          <w:szCs w:val="24"/>
          <w:color w:val="000000"/>
          <w:b w:val="0"/>
          <w:i w:val="0"/>
        </w:rPr>
        <w:t>。</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[R3] Chakkappen等，</w:t>
      </w:r>
      <w:r>
        <w:rPr>
          <w:rFonts w:ascii="宋体" w:hAnsi="宋体" w:eastAsia="宋体" w:cs="宋体"/>
          <w:sz w:val="24"/>
          <w:szCs w:val="24"/>
          <w:color w:val="000000"/>
          <w:b w:val="0"/>
          <w:i w:val="1"/>
        </w:rPr>
        <w:t>Adaptive Statistics in Oracle 12c</w:t>
      </w:r>
      <w:r>
        <w:rPr>
          <w:rFonts w:ascii="宋体" w:hAnsi="宋体" w:eastAsia="宋体" w:cs="宋体"/>
          <w:sz w:val="24"/>
          <w:szCs w:val="24"/>
          <w:color w:val="000000"/>
          <w:b w:val="0"/>
          <w:i w:val="0"/>
        </w:rPr>
        <w:t>，PVLDB 10(12), 1813-1824, 2017，</w:t>
      </w:r>
      <w:hyperlink r:id="rId10">
        <w:r>
          <w:rPr>
            <w:rFonts w:ascii="宋体" w:hAnsi="宋体" w:eastAsia="宋体" w:cs="宋体"/>
            <w:sz w:val="24"/>
            <w:szCs w:val="24"/>
            <w:color w:val="000000"/>
            <w:b w:val="0"/>
            <w:i w:val="0"/>
          </w:rPr>
          <w:t>论文</w:t>
        </w:r>
      </w:hyperlink>
      <w:r>
        <w:rPr>
          <w:rFonts w:ascii="宋体" w:hAnsi="宋体" w:eastAsia="宋体" w:cs="宋体"/>
          <w:sz w:val="24"/>
          <w:szCs w:val="24"/>
          <w:color w:val="000000"/>
          <w:b w:val="0"/>
          <w:i w:val="0"/>
        </w:rPr>
        <w:t xml:space="preserve">，DOI </w:t>
      </w:r>
      <w:hyperlink r:id="rId11">
        <w:r>
          <w:rPr>
            <w:rFonts w:ascii="宋体" w:hAnsi="宋体" w:eastAsia="宋体" w:cs="宋体"/>
            <w:sz w:val="24"/>
            <w:szCs w:val="24"/>
            <w:color w:val="000000"/>
            <w:b w:val="0"/>
            <w:i w:val="0"/>
          </w:rPr>
          <w:t>10.14778/3137765.3137785</w:t>
        </w:r>
      </w:hyperlink>
      <w:r>
        <w:rPr>
          <w:rFonts w:ascii="宋体" w:hAnsi="宋体" w:eastAsia="宋体" w:cs="宋体"/>
          <w:sz w:val="24"/>
          <w:szCs w:val="24"/>
          <w:color w:val="000000"/>
          <w:b w:val="0"/>
          <w:i w:val="0"/>
        </w:rPr>
        <w:t>。参见PDF第8-9页，第3.2.2、3.3.1-3.3.2节。</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[R5] Microsoft Learn，</w:t>
      </w:r>
      <w:hyperlink r:id="rId12">
        <w:r>
          <w:rPr>
            <w:rFonts w:ascii="宋体" w:hAnsi="宋体" w:eastAsia="宋体" w:cs="宋体"/>
            <w:sz w:val="24"/>
            <w:szCs w:val="24"/>
            <w:color w:val="000000"/>
            <w:b w:val="0"/>
            <w:i w:val="0"/>
          </w:rPr>
          <w:t>Live Query Statistics</w:t>
        </w:r>
      </w:hyperlink>
      <w:r>
        <w:rPr>
          <w:rFonts w:ascii="宋体" w:hAnsi="宋体" w:eastAsia="宋体" w:cs="宋体"/>
          <w:sz w:val="24"/>
          <w:szCs w:val="24"/>
          <w:color w:val="000000"/>
          <w:b w:val="0"/>
          <w:i w:val="0"/>
        </w:rPr>
        <w:t>。</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[R6] Microsoft Learn，</w:t>
      </w:r>
      <w:hyperlink r:id="rId13">
        <w:r>
          <w:rPr>
            <w:rFonts w:ascii="宋体" w:hAnsi="宋体" w:eastAsia="宋体" w:cs="宋体"/>
            <w:sz w:val="24"/>
            <w:szCs w:val="24"/>
            <w:color w:val="000000"/>
            <w:b w:val="0"/>
            <w:i w:val="0"/>
          </w:rPr>
          <w:t>sys.dm_exec_query_profiles</w:t>
        </w:r>
      </w:hyperlink>
      <w:r>
        <w:rPr>
          <w:rFonts w:ascii="宋体" w:hAnsi="宋体" w:eastAsia="宋体" w:cs="宋体"/>
          <w:sz w:val="24"/>
          <w:szCs w:val="24"/>
          <w:color w:val="000000"/>
          <w:b w:val="0"/>
          <w:i w:val="0"/>
        </w:rPr>
        <w:t>。</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[R8] Oracle Database 12c，</w:t>
      </w:r>
      <w:hyperlink r:id="rId14">
        <w:r>
          <w:rPr>
            <w:rFonts w:ascii="宋体" w:hAnsi="宋体" w:eastAsia="宋体" w:cs="宋体"/>
            <w:sz w:val="24"/>
            <w:szCs w:val="24"/>
            <w:color w:val="000000"/>
            <w:b w:val="0"/>
            <w:i w:val="0"/>
          </w:rPr>
          <w:t>How Adaptive Query Plans Work</w:t>
        </w:r>
      </w:hyperlink>
      <w:r>
        <w:rPr>
          <w:rFonts w:ascii="宋体" w:hAnsi="宋体" w:eastAsia="宋体" w:cs="宋体"/>
          <w:sz w:val="24"/>
          <w:szCs w:val="24"/>
          <w:color w:val="000000"/>
          <w:b w:val="0"/>
          <w:i w:val="0"/>
        </w:rPr>
        <w:t>。</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[R24] Markl等，</w:t>
      </w:r>
      <w:r>
        <w:rPr>
          <w:rFonts w:ascii="宋体" w:hAnsi="宋体" w:eastAsia="宋体" w:cs="宋体"/>
          <w:sz w:val="24"/>
          <w:szCs w:val="24"/>
          <w:color w:val="000000"/>
          <w:b w:val="0"/>
          <w:i w:val="1"/>
        </w:rPr>
        <w:t>Robust Query Processing through Progressive Optimization</w:t>
      </w:r>
      <w:r>
        <w:rPr>
          <w:rFonts w:ascii="宋体" w:hAnsi="宋体" w:eastAsia="宋体" w:cs="宋体"/>
          <w:sz w:val="24"/>
          <w:szCs w:val="24"/>
          <w:color w:val="000000"/>
          <w:b w:val="0"/>
          <w:i w:val="0"/>
        </w:rPr>
        <w:t>，SIGMOD 2004，</w:t>
      </w:r>
      <w:hyperlink r:id="rId15">
        <w:r>
          <w:rPr>
            <w:rFonts w:ascii="宋体" w:hAnsi="宋体" w:eastAsia="宋体" w:cs="宋体"/>
            <w:sz w:val="24"/>
            <w:szCs w:val="24"/>
            <w:color w:val="000000"/>
            <w:b w:val="0"/>
            <w:i w:val="0"/>
          </w:rPr>
          <w:t>IBM Research</w:t>
        </w:r>
      </w:hyperlink>
      <w:r>
        <w:rPr>
          <w:rFonts w:ascii="宋体" w:hAnsi="宋体" w:eastAsia="宋体" w:cs="宋体"/>
          <w:sz w:val="24"/>
          <w:szCs w:val="24"/>
          <w:color w:val="000000"/>
          <w:b w:val="0"/>
          <w:i w:val="0"/>
        </w:rPr>
        <w:t>，</w:t>
      </w:r>
      <w:hyperlink r:id="rId16">
        <w:r>
          <w:rPr>
            <w:rFonts w:ascii="宋体" w:hAnsi="宋体" w:eastAsia="宋体" w:cs="宋体"/>
            <w:sz w:val="24"/>
            <w:szCs w:val="24"/>
            <w:color w:val="000000"/>
            <w:b w:val="0"/>
            <w:i w:val="0"/>
          </w:rPr>
          <w:t>论文</w:t>
        </w:r>
      </w:hyperlink>
      <w:r>
        <w:rPr>
          <w:rFonts w:ascii="宋体" w:hAnsi="宋体" w:eastAsia="宋体" w:cs="宋体"/>
          <w:sz w:val="24"/>
          <w:szCs w:val="24"/>
          <w:color w:val="000000"/>
          <w:b w:val="0"/>
          <w:i w:val="0"/>
        </w:rPr>
        <w:t>。参见PDF第3页第2节及第5-6页第2.3节。</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[R25] Raman等，</w:t>
      </w:r>
      <w:r>
        <w:rPr>
          <w:rFonts w:ascii="宋体" w:hAnsi="宋体" w:eastAsia="宋体" w:cs="宋体"/>
          <w:sz w:val="24"/>
          <w:szCs w:val="24"/>
          <w:color w:val="000000"/>
          <w:b w:val="0"/>
          <w:i w:val="1"/>
        </w:rPr>
        <w:t>Progressive Optimization in Action</w:t>
      </w:r>
      <w:r>
        <w:rPr>
          <w:rFonts w:ascii="宋体" w:hAnsi="宋体" w:eastAsia="宋体" w:cs="宋体"/>
          <w:sz w:val="24"/>
          <w:szCs w:val="24"/>
          <w:color w:val="000000"/>
          <w:b w:val="0"/>
          <w:i w:val="0"/>
        </w:rPr>
        <w:t>，VLDB 2004，</w:t>
      </w:r>
      <w:hyperlink r:id="rId17">
        <w:r>
          <w:rPr>
            <w:rFonts w:ascii="宋体" w:hAnsi="宋体" w:eastAsia="宋体" w:cs="宋体"/>
            <w:sz w:val="24"/>
            <w:szCs w:val="24"/>
            <w:color w:val="000000"/>
            <w:b w:val="0"/>
            <w:i w:val="0"/>
          </w:rPr>
          <w:t>论文</w:t>
        </w:r>
      </w:hyperlink>
      <w:r>
        <w:rPr>
          <w:rFonts w:ascii="宋体" w:hAnsi="宋体" w:eastAsia="宋体" w:cs="宋体"/>
          <w:sz w:val="24"/>
          <w:szCs w:val="24"/>
          <w:color w:val="000000"/>
          <w:b w:val="0"/>
          <w:i w:val="0"/>
        </w:rPr>
        <w:t>。参见PDF第2页图1及流程说明。</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[R26] Chaudhuri、Narasayya、Ramamurthy，</w:t>
      </w:r>
      <w:r>
        <w:rPr>
          <w:rFonts w:ascii="宋体" w:hAnsi="宋体" w:eastAsia="宋体" w:cs="宋体"/>
          <w:sz w:val="24"/>
          <w:szCs w:val="24"/>
          <w:color w:val="000000"/>
          <w:b w:val="0"/>
          <w:i w:val="1"/>
        </w:rPr>
        <w:t>Estimating Progress of Execution for SQL Queries</w:t>
      </w:r>
      <w:r>
        <w:rPr>
          <w:rFonts w:ascii="宋体" w:hAnsi="宋体" w:eastAsia="宋体" w:cs="宋体"/>
          <w:sz w:val="24"/>
          <w:szCs w:val="24"/>
          <w:color w:val="000000"/>
          <w:b w:val="0"/>
          <w:i w:val="0"/>
        </w:rPr>
        <w:t>，SIGMOD 2004，</w:t>
      </w:r>
      <w:hyperlink r:id="rId18">
        <w:r>
          <w:rPr>
            <w:rFonts w:ascii="宋体" w:hAnsi="宋体" w:eastAsia="宋体" w:cs="宋体"/>
            <w:sz w:val="24"/>
            <w:szCs w:val="24"/>
            <w:color w:val="000000"/>
            <w:b w:val="0"/>
            <w:i w:val="0"/>
          </w:rPr>
          <w:t>Microsoft Research</w:t>
        </w:r>
      </w:hyperlink>
      <w:r>
        <w:rPr>
          <w:rFonts w:ascii="宋体" w:hAnsi="宋体" w:eastAsia="宋体" w:cs="宋体"/>
          <w:sz w:val="24"/>
          <w:szCs w:val="24"/>
          <w:color w:val="000000"/>
          <w:b w:val="0"/>
          <w:i w:val="0"/>
        </w:rPr>
        <w:t>，</w:t>
      </w:r>
      <w:hyperlink r:id="rId19">
        <w:r>
          <w:rPr>
            <w:rFonts w:ascii="宋体" w:hAnsi="宋体" w:eastAsia="宋体" w:cs="宋体"/>
            <w:sz w:val="24"/>
            <w:szCs w:val="24"/>
            <w:color w:val="000000"/>
            <w:b w:val="0"/>
            <w:i w:val="0"/>
          </w:rPr>
          <w:t>论文</w:t>
        </w:r>
      </w:hyperlink>
      <w:r>
        <w:rPr>
          <w:rFonts w:ascii="宋体" w:hAnsi="宋体" w:eastAsia="宋体" w:cs="宋体"/>
          <w:sz w:val="24"/>
          <w:szCs w:val="24"/>
          <w:color w:val="000000"/>
          <w:b w:val="0"/>
          <w:i w:val="0"/>
        </w:rPr>
        <w:t>。参见PDF第5-6页第4.1-4.2节及第12页Appendix B。</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[R27] Lee等，</w:t>
      </w:r>
      <w:r>
        <w:rPr>
          <w:rFonts w:ascii="宋体" w:hAnsi="宋体" w:eastAsia="宋体" w:cs="宋体"/>
          <w:sz w:val="24"/>
          <w:szCs w:val="24"/>
          <w:color w:val="000000"/>
          <w:b w:val="0"/>
          <w:i w:val="1"/>
        </w:rPr>
        <w:t>Operator and Query Progress Estimation in Microsoft SQL Server Live Query Statistics</w:t>
      </w:r>
      <w:r>
        <w:rPr>
          <w:rFonts w:ascii="宋体" w:hAnsi="宋体" w:eastAsia="宋体" w:cs="宋体"/>
          <w:sz w:val="24"/>
          <w:szCs w:val="24"/>
          <w:color w:val="000000"/>
          <w:b w:val="0"/>
          <w:i w:val="0"/>
        </w:rPr>
        <w:t>，SIGMOD 2016，</w:t>
      </w:r>
      <w:hyperlink r:id="rId20">
        <w:r>
          <w:rPr>
            <w:rFonts w:ascii="宋体" w:hAnsi="宋体" w:eastAsia="宋体" w:cs="宋体"/>
            <w:sz w:val="24"/>
            <w:szCs w:val="24"/>
            <w:color w:val="000000"/>
            <w:b w:val="0"/>
            <w:i w:val="0"/>
          </w:rPr>
          <w:t>Microsoft Research</w:t>
        </w:r>
      </w:hyperlink>
      <w:r>
        <w:rPr>
          <w:rFonts w:ascii="宋体" w:hAnsi="宋体" w:eastAsia="宋体" w:cs="宋体"/>
          <w:sz w:val="24"/>
          <w:szCs w:val="24"/>
          <w:color w:val="000000"/>
          <w:b w:val="0"/>
          <w:i w:val="0"/>
        </w:rPr>
        <w:t>，</w:t>
      </w:r>
      <w:hyperlink r:id="rId21">
        <w:r>
          <w:rPr>
            <w:rFonts w:ascii="宋体" w:hAnsi="宋体" w:eastAsia="宋体" w:cs="宋体"/>
            <w:sz w:val="24"/>
            <w:szCs w:val="24"/>
            <w:color w:val="000000"/>
            <w:b w:val="0"/>
            <w:i w:val="0"/>
          </w:rPr>
          <w:t>论文</w:t>
        </w:r>
      </w:hyperlink>
      <w:r>
        <w:rPr>
          <w:rFonts w:ascii="宋体" w:hAnsi="宋体" w:eastAsia="宋体" w:cs="宋体"/>
          <w:sz w:val="24"/>
          <w:szCs w:val="24"/>
          <w:color w:val="000000"/>
          <w:b w:val="0"/>
          <w:i w:val="0"/>
        </w:rPr>
        <w:t>。参见PDF第6页第4.2节及第11页参考文献 [7]。</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[R28] Microsoft Learn，</w:t>
      </w:r>
      <w:hyperlink r:id="rId22">
        <w:r>
          <w:rPr>
            <w:rFonts w:ascii="宋体" w:hAnsi="宋体" w:eastAsia="宋体" w:cs="宋体"/>
            <w:sz w:val="24"/>
            <w:szCs w:val="24"/>
            <w:color w:val="000000"/>
            <w:b w:val="0"/>
            <w:i w:val="0"/>
          </w:rPr>
          <w:t>Logical and Physical Showplan Operator Reference</w:t>
        </w:r>
      </w:hyperlink>
      <w:r>
        <w:rPr>
          <w:rFonts w:ascii="宋体" w:hAnsi="宋体" w:eastAsia="宋体" w:cs="宋体"/>
          <w:sz w:val="24"/>
          <w:szCs w:val="24"/>
          <w:color w:val="000000"/>
          <w:b w:val="0"/>
          <w:i w:val="0"/>
        </w:rPr>
        <w:t>。参见Physical operators、Rebinds, rewinds, and end-of-scans、How to read an execution plan。</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[R31] Oracle Database 12.1，</w:t>
      </w:r>
      <w:hyperlink r:id="rId23">
        <w:r>
          <w:rPr>
            <w:rFonts w:ascii="宋体" w:hAnsi="宋体" w:eastAsia="宋体" w:cs="宋体"/>
            <w:sz w:val="24"/>
            <w:szCs w:val="24"/>
            <w:color w:val="000000"/>
            <w:b w:val="0"/>
            <w:i w:val="0"/>
          </w:rPr>
          <w:t>Reoptimization: Statistics Feedback</w:t>
        </w:r>
      </w:hyperlink>
      <w:r>
        <w:rPr>
          <w:rFonts w:ascii="宋体" w:hAnsi="宋体" w:eastAsia="宋体" w:cs="宋体"/>
          <w:sz w:val="24"/>
          <w:szCs w:val="24"/>
          <w:color w:val="000000"/>
          <w:b w:val="0"/>
          <w:i w:val="0"/>
        </w:rPr>
        <w:t>。</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[R32] Oracle Database 12.1，</w:t>
      </w:r>
      <w:hyperlink r:id="rId24">
        <w:r>
          <w:rPr>
            <w:rFonts w:ascii="宋体" w:hAnsi="宋体" w:eastAsia="宋体" w:cs="宋体"/>
            <w:sz w:val="24"/>
            <w:szCs w:val="24"/>
            <w:color w:val="000000"/>
            <w:b w:val="0"/>
            <w:i w:val="0"/>
          </w:rPr>
          <w:t>Optimizer Statistics Concepts: SQL Plan Directives</w:t>
        </w:r>
      </w:hyperlink>
      <w:r>
        <w:rPr>
          <w:rFonts w:ascii="宋体" w:hAnsi="宋体" w:eastAsia="宋体" w:cs="宋体"/>
          <w:sz w:val="24"/>
          <w:szCs w:val="24"/>
          <w:color w:val="000000"/>
          <w:b w:val="0"/>
          <w:i w:val="0"/>
        </w:rPr>
        <w:t>。</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[R19] Oracle，</w:t>
      </w:r>
      <w:r>
        <w:rPr>
          <w:rFonts w:ascii="宋体" w:hAnsi="宋体" w:eastAsia="宋体" w:cs="宋体"/>
          <w:sz w:val="24"/>
          <w:szCs w:val="24"/>
          <w:color w:val="000000"/>
          <w:b w:val="0"/>
          <w:i w:val="1"/>
        </w:rPr>
        <w:t>Leveraging query-specific statistics in non-equivalent queries</w:t>
      </w:r>
      <w:r>
        <w:rPr>
          <w:rFonts w:ascii="宋体" w:hAnsi="宋体" w:eastAsia="宋体" w:cs="宋体"/>
          <w:sz w:val="24"/>
          <w:szCs w:val="24"/>
          <w:color w:val="000000"/>
          <w:b w:val="0"/>
          <w:i w:val="0"/>
        </w:rPr>
        <w:t>，</w:t>
      </w:r>
      <w:r>
        <w:rPr>
          <w:rFonts w:ascii="宋体" w:hAnsi="宋体" w:eastAsia="宋体" w:cs="宋体"/>
          <w:sz w:val="24"/>
          <w:szCs w:val="24"/>
          <w:color w:val="000000"/>
          <w:b w:val="0"/>
          <w:i w:val="0"/>
        </w:rPr>
        <w:t>US11321317B2</w:t>
      </w:r>
      <w:r>
        <w:rPr>
          <w:rFonts w:ascii="宋体" w:hAnsi="宋体" w:eastAsia="宋体" w:cs="宋体"/>
          <w:sz w:val="24"/>
          <w:szCs w:val="24"/>
          <w:color w:val="000000"/>
          <w:b w:val="0"/>
          <w:i w:val="0"/>
        </w:rPr>
        <w:t>，</w:t>
      </w:r>
      <w:hyperlink r:id="rId25">
        <w:r>
          <w:rPr>
            <w:rFonts w:ascii="宋体" w:hAnsi="宋体" w:eastAsia="宋体" w:cs="宋体"/>
            <w:sz w:val="24"/>
            <w:szCs w:val="24"/>
            <w:color w:val="000000"/>
            <w:b w:val="0"/>
            <w:i w:val="0"/>
          </w:rPr>
          <w:t>授权文本</w:t>
        </w:r>
      </w:hyperlink>
      <w:r>
        <w:rPr>
          <w:rFonts w:ascii="宋体" w:hAnsi="宋体" w:eastAsia="宋体" w:cs="宋体"/>
          <w:sz w:val="24"/>
          <w:szCs w:val="24"/>
          <w:color w:val="000000"/>
          <w:b w:val="0"/>
          <w:i w:val="0"/>
        </w:rPr>
        <w:t>，</w:t>
      </w:r>
      <w:hyperlink r:id="rId26">
        <w:r>
          <w:rPr>
            <w:rFonts w:ascii="宋体" w:hAnsi="宋体" w:eastAsia="宋体" w:cs="宋体"/>
            <w:sz w:val="24"/>
            <w:szCs w:val="24"/>
            <w:color w:val="000000"/>
            <w:b w:val="0"/>
            <w:i w:val="0"/>
          </w:rPr>
          <w:t>本地原件</w:t>
        </w:r>
      </w:hyperlink>
      <w:r>
        <w:rPr>
          <w:rFonts w:ascii="宋体" w:hAnsi="宋体" w:eastAsia="宋体" w:cs="宋体"/>
          <w:sz w:val="24"/>
          <w:szCs w:val="24"/>
          <w:color w:val="000000"/>
          <w:b w:val="0"/>
          <w:i w:val="0"/>
        </w:rPr>
        <w:t>。参见授权PDF第14-20页的自适应与重新优化说明，以及第31-32页的权利要求；权利要求1涉及非等价后续查询的统计复用。</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[R20] IBM，</w:t>
      </w:r>
      <w:r>
        <w:rPr>
          <w:rFonts w:ascii="宋体" w:hAnsi="宋体" w:eastAsia="宋体" w:cs="宋体"/>
          <w:sz w:val="24"/>
          <w:szCs w:val="24"/>
          <w:color w:val="000000"/>
          <w:b w:val="0"/>
          <w:i w:val="1"/>
        </w:rPr>
        <w:t>System, method, and computer program product for progressive query processing</w:t>
      </w:r>
      <w:r>
        <w:rPr>
          <w:rFonts w:ascii="宋体" w:hAnsi="宋体" w:eastAsia="宋体" w:cs="宋体"/>
          <w:sz w:val="24"/>
          <w:szCs w:val="24"/>
          <w:color w:val="000000"/>
          <w:b w:val="0"/>
          <w:i w:val="0"/>
        </w:rPr>
        <w:t>，</w:t>
      </w:r>
      <w:r>
        <w:rPr>
          <w:rFonts w:ascii="宋体" w:hAnsi="宋体" w:eastAsia="宋体" w:cs="宋体"/>
          <w:sz w:val="24"/>
          <w:szCs w:val="24"/>
          <w:color w:val="000000"/>
          <w:b w:val="0"/>
          <w:i w:val="0"/>
        </w:rPr>
        <w:t>US7716215B2</w:t>
      </w:r>
      <w:r>
        <w:rPr>
          <w:rFonts w:ascii="宋体" w:hAnsi="宋体" w:eastAsia="宋体" w:cs="宋体"/>
          <w:sz w:val="24"/>
          <w:szCs w:val="24"/>
          <w:color w:val="000000"/>
          <w:b w:val="0"/>
          <w:i w:val="0"/>
        </w:rPr>
        <w:t>，</w:t>
      </w:r>
      <w:hyperlink r:id="rId27">
        <w:r>
          <w:rPr>
            <w:rFonts w:ascii="宋体" w:hAnsi="宋体" w:eastAsia="宋体" w:cs="宋体"/>
            <w:sz w:val="24"/>
            <w:szCs w:val="24"/>
            <w:color w:val="000000"/>
            <w:b w:val="0"/>
            <w:i w:val="0"/>
          </w:rPr>
          <w:t>授权文本</w:t>
        </w:r>
      </w:hyperlink>
      <w:r>
        <w:rPr>
          <w:rFonts w:ascii="宋体" w:hAnsi="宋体" w:eastAsia="宋体" w:cs="宋体"/>
          <w:sz w:val="24"/>
          <w:szCs w:val="24"/>
          <w:color w:val="000000"/>
          <w:b w:val="0"/>
          <w:i w:val="0"/>
        </w:rPr>
        <w:t>，</w:t>
      </w:r>
      <w:hyperlink r:id="rId28">
        <w:r>
          <w:rPr>
            <w:rFonts w:ascii="宋体" w:hAnsi="宋体" w:eastAsia="宋体" w:cs="宋体"/>
            <w:sz w:val="24"/>
            <w:szCs w:val="24"/>
            <w:color w:val="000000"/>
            <w:b w:val="0"/>
            <w:i w:val="0"/>
          </w:rPr>
          <w:t>本地原件</w:t>
        </w:r>
      </w:hyperlink>
      <w:r>
        <w:rPr>
          <w:rFonts w:ascii="宋体" w:hAnsi="宋体" w:eastAsia="宋体" w:cs="宋体"/>
          <w:sz w:val="24"/>
          <w:szCs w:val="24"/>
          <w:color w:val="000000"/>
          <w:b w:val="0"/>
          <w:i w:val="0"/>
        </w:rPr>
        <w:t>。参见授权PDF第21-26页、PDF第9页图7，以及第27-28页权利要求1。</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[R21] Microsoft，</w:t>
      </w:r>
      <w:r>
        <w:rPr>
          <w:rFonts w:ascii="宋体" w:hAnsi="宋体" w:eastAsia="宋体" w:cs="宋体"/>
          <w:sz w:val="24"/>
          <w:szCs w:val="24"/>
          <w:color w:val="000000"/>
          <w:b w:val="0"/>
          <w:i w:val="1"/>
        </w:rPr>
        <w:t>Query progress estimation</w:t>
      </w:r>
      <w:r>
        <w:rPr>
          <w:rFonts w:ascii="宋体" w:hAnsi="宋体" w:eastAsia="宋体" w:cs="宋体"/>
          <w:sz w:val="24"/>
          <w:szCs w:val="24"/>
          <w:color w:val="000000"/>
          <w:b w:val="0"/>
          <w:i w:val="0"/>
        </w:rPr>
        <w:t>，</w:t>
      </w:r>
      <w:r>
        <w:rPr>
          <w:rFonts w:ascii="宋体" w:hAnsi="宋体" w:eastAsia="宋体" w:cs="宋体"/>
          <w:sz w:val="24"/>
          <w:szCs w:val="24"/>
          <w:color w:val="000000"/>
          <w:b w:val="0"/>
          <w:i w:val="0"/>
        </w:rPr>
        <w:t>US7493337B2</w:t>
      </w:r>
      <w:r>
        <w:rPr>
          <w:rFonts w:ascii="宋体" w:hAnsi="宋体" w:eastAsia="宋体" w:cs="宋体"/>
          <w:sz w:val="24"/>
          <w:szCs w:val="24"/>
          <w:color w:val="000000"/>
          <w:b w:val="0"/>
          <w:i w:val="0"/>
        </w:rPr>
        <w:t>，</w:t>
      </w:r>
      <w:hyperlink r:id="rId29">
        <w:r>
          <w:rPr>
            <w:rFonts w:ascii="宋体" w:hAnsi="宋体" w:eastAsia="宋体" w:cs="宋体"/>
            <w:sz w:val="24"/>
            <w:szCs w:val="24"/>
            <w:color w:val="000000"/>
            <w:b w:val="0"/>
            <w:i w:val="0"/>
          </w:rPr>
          <w:t>授权文本</w:t>
        </w:r>
      </w:hyperlink>
      <w:r>
        <w:rPr>
          <w:rFonts w:ascii="宋体" w:hAnsi="宋体" w:eastAsia="宋体" w:cs="宋体"/>
          <w:sz w:val="24"/>
          <w:szCs w:val="24"/>
          <w:color w:val="000000"/>
          <w:b w:val="0"/>
          <w:i w:val="0"/>
        </w:rPr>
        <w:t>，</w:t>
      </w:r>
      <w:hyperlink r:id="rId30">
        <w:r>
          <w:rPr>
            <w:rFonts w:ascii="宋体" w:hAnsi="宋体" w:eastAsia="宋体" w:cs="宋体"/>
            <w:sz w:val="24"/>
            <w:szCs w:val="24"/>
            <w:color w:val="000000"/>
            <w:b w:val="0"/>
            <w:i w:val="0"/>
          </w:rPr>
          <w:t>本地原件</w:t>
        </w:r>
      </w:hyperlink>
      <w:r>
        <w:rPr>
          <w:rFonts w:ascii="宋体" w:hAnsi="宋体" w:eastAsia="宋体" w:cs="宋体"/>
          <w:sz w:val="24"/>
          <w:szCs w:val="24"/>
          <w:color w:val="000000"/>
          <w:b w:val="0"/>
          <w:i w:val="0"/>
        </w:rPr>
        <w:t>。参见授权PDF第20-21页、PDF第13页图12，以及第24-25页权利要求22-33、42。</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 xml:space="preserve">[C2] </w:t>
      </w:r>
      <w:hyperlink r:id="rId31">
        <w:r>
          <w:rPr>
            <w:rFonts w:ascii="宋体" w:hAnsi="宋体" w:eastAsia="宋体" w:cs="宋体"/>
            <w:sz w:val="24"/>
            <w:szCs w:val="24"/>
            <w:color w:val="000000"/>
            <w:b w:val="0"/>
            <w:i w:val="0"/>
          </w:rPr>
          <w:t>capture_executor_run</w:t>
        </w:r>
      </w:hyperlink>
      <w:r>
        <w:rPr>
          <w:rFonts w:ascii="宋体" w:hAnsi="宋体" w:eastAsia="宋体" w:cs="宋体"/>
          <w:sz w:val="24"/>
          <w:szCs w:val="24"/>
          <w:color w:val="000000"/>
          <w:b w:val="0"/>
          <w:i w:val="0"/>
        </w:rPr>
        <w:t>、</w:t>
      </w:r>
      <w:hyperlink r:id="rId32">
        <w:r>
          <w:rPr>
            <w:rFonts w:ascii="宋体" w:hAnsi="宋体" w:eastAsia="宋体" w:cs="宋体"/>
            <w:sz w:val="24"/>
            <w:szCs w:val="24"/>
            <w:color w:val="000000"/>
            <w:b w:val="0"/>
            <w:i w:val="0"/>
          </w:rPr>
          <w:t>partial_gaussdb_execution_capture_evidence</w:t>
        </w:r>
      </w:hyperlink>
      <w:r>
        <w:rPr>
          <w:rFonts w:ascii="宋体" w:hAnsi="宋体" w:eastAsia="宋体" w:cs="宋体"/>
          <w:sz w:val="24"/>
          <w:szCs w:val="24"/>
          <w:color w:val="000000"/>
          <w:b w:val="0"/>
          <w:i w:val="0"/>
        </w:rPr>
        <w:t>：取消发生时的统计采集及字段来源。</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 xml:space="preserve">[C4] </w:t>
      </w:r>
      <w:hyperlink r:id="rId33">
        <w:r>
          <w:rPr>
            <w:rFonts w:ascii="宋体" w:hAnsi="宋体" w:eastAsia="宋体" w:cs="宋体"/>
            <w:sz w:val="24"/>
            <w:szCs w:val="24"/>
            <w:color w:val="000000"/>
            <w:b w:val="0"/>
            <w:i w:val="0"/>
          </w:rPr>
          <w:t>rows_hint_merge</w:t>
        </w:r>
      </w:hyperlink>
      <w:r>
        <w:rPr>
          <w:rFonts w:ascii="宋体" w:hAnsi="宋体" w:eastAsia="宋体" w:cs="宋体"/>
          <w:sz w:val="24"/>
          <w:szCs w:val="24"/>
          <w:color w:val="000000"/>
          <w:b w:val="0"/>
          <w:i w:val="0"/>
        </w:rPr>
        <w:t>、</w:t>
      </w:r>
      <w:hyperlink r:id="rId34">
        <w:r>
          <w:rPr>
            <w:rFonts w:ascii="宋体" w:hAnsi="宋体" w:eastAsia="宋体" w:cs="宋体"/>
            <w:sz w:val="24"/>
            <w:szCs w:val="24"/>
            <w:color w:val="000000"/>
            <w:b w:val="0"/>
            <w:i w:val="0"/>
          </w:rPr>
          <w:t>feedback_loop_advance</w:t>
        </w:r>
      </w:hyperlink>
      <w:r>
        <w:rPr>
          <w:rFonts w:ascii="宋体" w:hAnsi="宋体" w:eastAsia="宋体" w:cs="宋体"/>
          <w:sz w:val="24"/>
          <w:szCs w:val="24"/>
          <w:color w:val="000000"/>
          <w:b w:val="0"/>
          <w:i w:val="0"/>
        </w:rPr>
        <w:t>：跨轮合并、部分反馈轮次和最佳候选的选择规则。</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 xml:space="preserve">[E1] </w:t>
      </w:r>
      <w:hyperlink r:id="rId35">
        <w:r>
          <w:rPr>
            <w:rFonts w:ascii="宋体" w:hAnsi="宋体" w:eastAsia="宋体" w:cs="宋体"/>
            <w:sz w:val="24"/>
            <w:szCs w:val="24"/>
            <w:color w:val="000000"/>
            <w:b w:val="0"/>
            <w:i w:val="0"/>
          </w:rPr>
          <w:t>实验配置、代码版本及校验信息</w:t>
        </w:r>
      </w:hyperlink>
      <w:r>
        <w:rPr>
          <w:rFonts w:ascii="宋体" w:hAnsi="宋体" w:eastAsia="宋体" w:cs="宋体"/>
          <w:sz w:val="24"/>
          <w:szCs w:val="24"/>
          <w:color w:val="000000"/>
          <w:b w:val="0"/>
          <w:i w:val="0"/>
        </w:rPr>
        <w:t>。</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 xml:space="preserve">[E2] </w:t>
      </w:r>
      <w:hyperlink r:id="rId36">
        <w:r>
          <w:rPr>
            <w:rFonts w:ascii="宋体" w:hAnsi="宋体" w:eastAsia="宋体" w:cs="宋体"/>
            <w:sz w:val="24"/>
            <w:szCs w:val="24"/>
            <w:color w:val="000000"/>
            <w:b w:val="0"/>
            <w:i w:val="0"/>
          </w:rPr>
          <w:t>逐查询工作簿</w:t>
        </w:r>
      </w:hyperlink>
      <w:r>
        <w:rPr>
          <w:rFonts w:ascii="宋体" w:hAnsi="宋体" w:eastAsia="宋体" w:cs="宋体"/>
          <w:sz w:val="24"/>
          <w:szCs w:val="24"/>
          <w:color w:val="000000"/>
          <w:b w:val="0"/>
          <w:i w:val="0"/>
        </w:rPr>
        <w:t>及对应的</w:t>
      </w:r>
      <w:hyperlink r:id="rId37">
        <w:r>
          <w:rPr>
            <w:rFonts w:ascii="宋体" w:hAnsi="宋体" w:eastAsia="宋体" w:cs="宋体"/>
            <w:sz w:val="24"/>
            <w:szCs w:val="24"/>
            <w:color w:val="000000"/>
            <w:b w:val="0"/>
            <w:i w:val="0"/>
          </w:rPr>
          <w:t>原始输入记录</w:t>
        </w:r>
      </w:hyperlink>
      <w:r>
        <w:rPr>
          <w:rFonts w:ascii="宋体" w:hAnsi="宋体" w:eastAsia="宋体" w:cs="宋体"/>
          <w:sz w:val="24"/>
          <w:szCs w:val="24"/>
          <w:color w:val="000000"/>
          <w:b w:val="0"/>
          <w:i w:val="0"/>
        </w:rPr>
        <w:t>。</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 xml:space="preserve">[E3] </w:t>
      </w:r>
      <w:hyperlink r:id="rId38">
        <w:r>
          <w:rPr>
            <w:rFonts w:ascii="宋体" w:hAnsi="宋体" w:eastAsia="宋体" w:cs="宋体"/>
            <w:sz w:val="24"/>
            <w:szCs w:val="24"/>
            <w:color w:val="000000"/>
            <w:b w:val="0"/>
            <w:i w:val="0"/>
          </w:rPr>
          <w:t>独立执行原始记录</w:t>
        </w:r>
      </w:hyperlink>
      <w:r>
        <w:rPr>
          <w:rFonts w:ascii="宋体" w:hAnsi="宋体" w:eastAsia="宋体" w:cs="宋体"/>
          <w:sz w:val="24"/>
          <w:szCs w:val="24"/>
          <w:color w:val="000000"/>
          <w:b w:val="0"/>
          <w:i w:val="0"/>
        </w:rPr>
        <w:t>、调优记录和事件记录。</w:t>
      </w:r>
    </w:p>
    <w:p>
      <w:pPr>
        <w:widowControl/>
        <w:spacing w:line="360" w:lineRule="auto" w:before="0" w:after="0"/>
        <w:ind w:firstLine="480" w:firstLineChars="200"/>
        <w:autoSpaceDE w:val="0"/>
        <w:autoSpaceDN w:val="0"/>
        <w:jc w:val="both"/>
      </w:pPr>
      <w:r>
        <w:rPr>
          <w:rFonts w:ascii="宋体" w:hAnsi="宋体" w:eastAsia="宋体" w:cs="宋体"/>
          <w:sz w:val="24"/>
          <w:szCs w:val="24"/>
          <w:color w:val="000000"/>
          <w:b w:val="0"/>
          <w:i w:val="0"/>
        </w:rPr>
        <w:t xml:space="preserve">[E4] </w:t>
      </w:r>
      <w:hyperlink r:id="rId39">
        <w:r>
          <w:rPr>
            <w:rFonts w:ascii="宋体" w:hAnsi="宋体" w:eastAsia="宋体" w:cs="宋体"/>
            <w:sz w:val="24"/>
            <w:szCs w:val="24"/>
            <w:color w:val="000000"/>
            <w:b w:val="0"/>
            <w:i w:val="0"/>
          </w:rPr>
          <w:t>恢复候选来源明细</w:t>
        </w:r>
      </w:hyperlink>
      <w:r>
        <w:rPr>
          <w:rFonts w:ascii="宋体" w:hAnsi="宋体" w:eastAsia="宋体" w:cs="宋体"/>
          <w:sz w:val="24"/>
          <w:szCs w:val="24"/>
          <w:color w:val="000000"/>
          <w:b w:val="0"/>
          <w:i w:val="0"/>
        </w:rPr>
        <w:t>及恢复规则。</w:t>
      </w:r>
    </w:p>
    <w:sectPr w:rsidR="00FC693F" w:rsidRPr="0006063C" w:rsidSect="00034616">
      <w:footerReference w:type="default" r:id="rId4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宋体">
    <w:altName w:val="Songti SC"/>
    <w:family w:val="roman"/>
    <w:charset w:val="86"/>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line="360" w:lineRule="auto" w:before="0" w:after="0"/>
      <w:ind w:firstLine="0" w:firstLineChars="0"/>
      <w:autoSpaceDE w:val="0"/>
      <w:autoSpaceDN w:val="0"/>
      <w:jc w:val="center"/>
    </w:pPr>
    <w:fldSimple w:instr="PAGE">
      <w:r>
        <w:rPr>
          <w:rFonts w:ascii="宋体" w:hAnsi="宋体" w:eastAsia="宋体" w:cs="宋体"/>
          <w:sz w:val="20"/>
          <w:szCs w:val="20"/>
          <w:color w:val="000000"/>
          <w:b w:val="0"/>
          <w:i w:val="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宋体" w:hAnsi="宋体" w:eastAsia="宋体" w:cs="宋体"/>
      <w:color w:val="000000"/>
      <w:sz w:val="24"/>
      <w:szCs w:val="24"/>
      <w:b w:val="0"/>
      <w:i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宋体" w:hAnsi="宋体" w:eastAsia="宋体" w:cs="宋体"/>
      <w:b/>
      <w:bCs/>
      <w:color w:val="000000"/>
      <w:sz w:val="24"/>
      <w:szCs w:val="24"/>
      <w:b w:val="0"/>
      <w:i w:val="0"/>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宋体" w:hAnsi="宋体" w:eastAsia="宋体" w:cs="宋体"/>
      <w:b/>
      <w:bCs/>
      <w:color w:val="000000"/>
      <w:sz w:val="24"/>
      <w:szCs w:val="24"/>
      <w:b w:val="0"/>
      <w:i w:val="0"/>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宋体" w:hAnsi="宋体" w:eastAsia="宋体" w:cs="宋体"/>
      <w:b/>
      <w:bCs/>
      <w:color w:val="000000"/>
      <w:sz w:val="24"/>
      <w:szCs w:val="24"/>
      <w:b w:val="0"/>
      <w:i w:val="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0" w:line="360" w:lineRule="auto"/>
      <w:contextualSpacing/>
    </w:pPr>
    <w:rPr>
      <w:rFonts w:ascii="宋体" w:hAnsi="宋体" w:eastAsia="宋体" w:cs="宋体"/>
      <w:color w:val="000000"/>
      <w:spacing w:val="5"/>
      <w:kern w:val="28"/>
      <w:sz w:val="24"/>
      <w:szCs w:val="24"/>
      <w:b w:val="0"/>
      <w:i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iamlord888/ext-optimizer-matrials/blob/main/sources/papers/P019.pdf" TargetMode="External"/><Relationship Id="rId10" Type="http://schemas.openxmlformats.org/officeDocument/2006/relationships/hyperlink" Target="https://www.vldb.org/pvldb/vol10/p1813-zait.pdf" TargetMode="External"/><Relationship Id="rId11" Type="http://schemas.openxmlformats.org/officeDocument/2006/relationships/hyperlink" Target="https://doi.org/10.14778/3137765.3137785" TargetMode="External"/><Relationship Id="rId12" Type="http://schemas.openxmlformats.org/officeDocument/2006/relationships/hyperlink" Target="https://learn.microsoft.com/en-us/sql/relational-databases/performance/live-query-statistics?view=sql-server-ver17" TargetMode="External"/><Relationship Id="rId13" Type="http://schemas.openxmlformats.org/officeDocument/2006/relationships/hyperlink" Target="https://learn.microsoft.com/en-us/sql/relational-databases/system-dynamic-management-objects/sys-dm-exec-query-profiles-transact-sql?view=sql-server-ver17" TargetMode="External"/><Relationship Id="rId14" Type="http://schemas.openxmlformats.org/officeDocument/2006/relationships/hyperlink" Target="https://docs.oracle.com/database/121/TGSQL/tgsql_optcncpt.htm#GUID-A42B8874-95AF-4D5B-B5D9-F0376F91D15E" TargetMode="External"/><Relationship Id="rId15" Type="http://schemas.openxmlformats.org/officeDocument/2006/relationships/hyperlink" Target="https://research.ibm.com/publications/robust-query-processing-through-progressive-optimization" TargetMode="External"/><Relationship Id="rId16" Type="http://schemas.openxmlformats.org/officeDocument/2006/relationships/hyperlink" Target="https://dsf.berkeley.edu/cs286/papers/robust-sigmod2004.pdf" TargetMode="External"/><Relationship Id="rId17" Type="http://schemas.openxmlformats.org/officeDocument/2006/relationships/hyperlink" Target="https://www.vldb.org/conf/2004/DEMP22.PDF" TargetMode="External"/><Relationship Id="rId18" Type="http://schemas.openxmlformats.org/officeDocument/2006/relationships/hyperlink" Target="https://www.microsoft.com/en-us/research/publication/estimating-progress-of-execution-for-sql-queries/" TargetMode="External"/><Relationship Id="rId19" Type="http://schemas.openxmlformats.org/officeDocument/2006/relationships/hyperlink" Target="https://www.microsoft.com/en-us/research/wp-content/uploads/2016/02/progress-1.pdf" TargetMode="External"/><Relationship Id="rId20" Type="http://schemas.openxmlformats.org/officeDocument/2006/relationships/hyperlink" Target="https://www.microsoft.com/en-us/research/publication/operator-and-query-progress-estimation-in-microsoft-sql-server-live-query-statistics/" TargetMode="External"/><Relationship Id="rId21" Type="http://schemas.openxmlformats.org/officeDocument/2006/relationships/hyperlink" Target="https://www.microsoft.com/en-us/research/wp-content/uploads/2016/06/qprog.pdf" TargetMode="External"/><Relationship Id="rId22" Type="http://schemas.openxmlformats.org/officeDocument/2006/relationships/hyperlink" Target="https://learn.microsoft.com/en-us/sql/relational-databases/showplan-logical-and-physical-operators-reference?view=sql-server-ver17" TargetMode="External"/><Relationship Id="rId23" Type="http://schemas.openxmlformats.org/officeDocument/2006/relationships/hyperlink" Target="https://docs.oracle.com/database/121/TGSQL/tgsql_optcncpt.htm#GUID-739F1F0B-ABE2-44C9-9783-8FA54F4ADB12" TargetMode="External"/><Relationship Id="rId24" Type="http://schemas.openxmlformats.org/officeDocument/2006/relationships/hyperlink" Target="https://docs.oracle.com/database/121/TGSQL/tgsql_statscon.htm" TargetMode="External"/><Relationship Id="rId25" Type="http://schemas.openxmlformats.org/officeDocument/2006/relationships/hyperlink" Target="https://patents.google.com/patent/US11321317B2/en" TargetMode="External"/><Relationship Id="rId26" Type="http://schemas.openxmlformats.org/officeDocument/2006/relationships/hyperlink" Target="https://github.com/iamlord888/ext-optimizer-matrials/blob/main/design/patent-originals/US11321317B2.pdf" TargetMode="External"/><Relationship Id="rId27" Type="http://schemas.openxmlformats.org/officeDocument/2006/relationships/hyperlink" Target="https://patents.google.com/patent/US7716215B2/en" TargetMode="External"/><Relationship Id="rId28" Type="http://schemas.openxmlformats.org/officeDocument/2006/relationships/hyperlink" Target="https://github.com/iamlord888/ext-optimizer-matrials/blob/main/design/patent-originals/US7716215B2.pdf" TargetMode="External"/><Relationship Id="rId29" Type="http://schemas.openxmlformats.org/officeDocument/2006/relationships/hyperlink" Target="https://patents.google.com/patent/US7493337B2/en" TargetMode="External"/><Relationship Id="rId30" Type="http://schemas.openxmlformats.org/officeDocument/2006/relationships/hyperlink" Target="https://github.com/iamlord888/ext-optimizer-matrials/blob/main/design/patent-originals/US7493337B2.pdf" TargetMode="External"/><Relationship Id="rId31" Type="http://schemas.openxmlformats.org/officeDocument/2006/relationships/hyperlink" Target="https://github.com/iamlord888/ext-optimizer-matrials/blob/main/contrib/extopt-gaussdb/extopt_partial_capture.cpp" TargetMode="External"/><Relationship Id="rId32" Type="http://schemas.openxmlformats.org/officeDocument/2006/relationships/hyperlink" Target="https://github.com/iamlord888/ext-optimizer-matrials/blob/main/contrib/extopt-gaussdb/extopt_partial_gaussdb.cpp" TargetMode="External"/><Relationship Id="rId33" Type="http://schemas.openxmlformats.org/officeDocument/2006/relationships/hyperlink" Target="https://github.com/iamlord888/ext-optimizer-matrials/blob/main/contrib/hint_adviser/hint_adviser_rows_state.c" TargetMode="External"/><Relationship Id="rId34" Type="http://schemas.openxmlformats.org/officeDocument/2006/relationships/hyperlink" Target="https://github.com/iamlord888/ext-optimizer-matrials/blob/main/contrib/hint_adviser/hint_adviser_feedback_policy.c" TargetMode="External"/><Relationship Id="rId35" Type="http://schemas.openxmlformats.org/officeDocument/2006/relationships/hyperlink" Target="https://github.com/iamlord888/ext-optimizer-matrials/blob/main/data/patience5-ab-20260928/run-manifest.txt" TargetMode="External"/><Relationship Id="rId36" Type="http://schemas.openxmlformats.org/officeDocument/2006/relationships/hyperlink" Target="https://github.com/iamlord888/ext-optimizer-matrials/blob/main/outputs/job_job_complex_tuning_query_summary_patience5_20260928.xlsx" TargetMode="External"/><Relationship Id="rId37" Type="http://schemas.openxmlformats.org/officeDocument/2006/relationships/hyperlink" Target="https://github.com/iamlord888/ext-optimizer-matrials/blob/main/data/patience5-ab-20260928/results/workbook-input.tsv" TargetMode="External"/><Relationship Id="rId38" Type="http://schemas.openxmlformats.org/officeDocument/2006/relationships/hyperlink" Target="https://github.com/iamlord888/ext-optimizer-matrials/blob/main/data/patience5-ab-20260928/results/measurements.tsv" TargetMode="External"/><Relationship Id="rId39" Type="http://schemas.openxmlformats.org/officeDocument/2006/relationships/hyperlink" Target="https://github.com/iamlord888/ext-optimizer-matrials/blob/main/data/patience5-ab-20260928/results/recovered-current-partial.tsv" TargetMode="External"/><Relationship Id="rId4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一种基于限时执行部分反馈的查询执行计划迭代优化方法</dc:title>
  <dc:subject/>
  <dc:creator/>
  <cp:keywords/>
  <dc:description/>
  <cp:lastModifiedBy/>
  <cp:revision>1</cp:revision>
  <dcterms:created xsi:type="dcterms:W3CDTF">2013-12-23T23:15:00Z</dcterms:created>
  <dcterms:modified xsi:type="dcterms:W3CDTF">2013-12-23T23:15:00Z</dcterms:modified>
  <cp:category/>
</cp:coreProperties>
</file>