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XO Tahion" w:cs="XO Tahion" w:eastAsia="XO Tahion" w:hAnsi="XO Tahion"/>
          <w:b w:val="1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b w:val="1"/>
          <w:sz w:val="24"/>
          <w:szCs w:val="24"/>
          <w:rtl w:val="0"/>
        </w:rPr>
        <w:t xml:space="preserve">Влияние инфразвуковых частот значительной мощности на человека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XO Tahion" w:cs="XO Tahion" w:eastAsia="XO Tahion" w:hAnsi="XO Tahion"/>
          <w:b w:val="0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b w:val="0"/>
          <w:sz w:val="24"/>
          <w:szCs w:val="24"/>
          <w:rtl w:val="0"/>
        </w:rPr>
        <w:t xml:space="preserve">И.В. Луковкин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Научный руководитель – Чернышев С.В., канд. техн. наук, доцент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XO Tahion" w:cs="XO Tahion" w:eastAsia="XO Tahion" w:hAnsi="XO Tahio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Инфразвук - это низкочастотные звуки, обычно они имеют частоту менее 20 Гц, что позволяет им переходить через препятствия и проникать в различные здания и сооружения. Эта частота очень важна для многих животных, которые используют ее для обмена информацией между собой.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Точно известно, что инфразвук оказывает влияние на человека и может вызывать негативные эффекты, такие как головные боли, тошнота, головокружение, бессонница, усталость и т.д. Кроме того, некоторые эксперименты показали, что длительное воздействие на человека инфразвука значительной мощности может привести к болезням, таким как депрессия, снижение иммунитета, сердечно-сосудистых заболеваний.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Научных данных о механизмах воздействия инфразвука на человеческий организм пока недостаточно, однако существует несколько теорий о его влиянии на мозг и внутренние органы. Один из предполагаемых механизмов заключается в том, что инфразвук может вызывать вибрацию тканей, что может приводить к нарушению нормального функционирования внутренних органов и систем организма.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Существует определенная зависимость между мощностью инфразвуковой частоты и степенью ее влияния на человека. Эта зависимость не линейна и сложна в изучении.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Причины негативного влияния инфразвука на человека все еще активно изучаются, однако известно, что повышенный уровень инфразвука может привести к нарушению кровообращения, внутренних органов и нервной системы. Он также может вызывать мигрени, тошноту, головокружение и другие симптомы.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Если говорить о зависимости степени влияния от величины мощности инфразвуковой частоты, то можно сказать, что чем выше мощность, тем сильнее воздействие на человека. Однако следует учитывать, что каждый человек может иметь индивидуальную чувствительность к инфразвуку, и некоторые люди могут более сильно реагировать на низкочастотные колебания, чем другие. Кроме того, возможны и другие факторы, которые могут влиять на восприятие инфразвука человеком, например, громкость звука, присутствие других звуковых и визуальных стимулов, психологические факторы и т.д.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Примеры конкретного воздействия инфразвуковых частот на человека затруднительно привести в силу сложности проведения исследований в данной области. Однако, есть некоторые примеры случаев, когда инфразвук оказал негативное воздействие на животных и людей.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Один из таких примеров - случай с фонтаном в Бристоле (Великобритания), который в 1970-х годах известил о себе, вызвав ряд жалоб от жителей района на плохое самочувствие и другие физические проблемы. После проведения измерений было выявлено, что фонтан излучал инфразвуки с частотой в 18,98 Гц, что могло стать причиной негативных эффектов на людей в окружающей обстановке.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Кроме того, в России также были некоторые случаи, связанные с воздействием инфразвуков на людей. В частности, в 2016 году ряд заявлений поступили от местных жителей Череповца (Вологодская область) о негативном воздействии на их здоровье оборудования местного предприятия.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Однако, следует отметить, что все эти примеры являются отдельными случаями, и для того, чтобы более точно определить влияние инфразвуковых частот на человека, нужны более обширные научные исследования в данной области.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Существует несколько способов борьбы с влиянием инфразвуковых частот на человека: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1. Изоляция. Чем полнее здание отгорожено от внешнего мира, тем менее инфразвуковое воздействие будет ощущаться внутри помещения. Использование звукоизоляционных материалов (например, минеральной ваты) позволяет снизить воздействие низкочастотных колебаний.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2. Использование специальных устройств. Например, наушники с активным шумоподавлением снижают уровень звукового давления, в том числе и инфразвуковых частот.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3. Правильный режим труда и отдыха, достаточный сон. Это позволяет уменьшить уровень стресса и, как результат, повышенную чувствительность к воздействию инфразвука.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4. Регулярное проветривание помещения. Это помогает убрать из воздуха молекулы, которые могут усиливать воздействие инфразвука.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5. Использование лечебных методов. Например, акупунктура, массаж, йога помогают снизить уровень стресса и улучшить общее состояние организма.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6. Обращение к специалистам. Если проблема с инфразвуком становится системной и не удается решить привычными методами, стоит обратиться к специалистам по медицине или шумозащите.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Чтобы бороться с влиянием инфразвуковых частот на человека на производстве, следует провести акустическую оценку рабочей зоны, чтобы определить уровень шума и инфразвука. Для этого необходимо использовать специальные акустические приборы и проводить необходимые измерения.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Fonts w:ascii="XO Tahion" w:cs="XO Tahion" w:eastAsia="XO Tahion" w:hAnsi="XO Tahion"/>
          <w:sz w:val="24"/>
          <w:szCs w:val="24"/>
          <w:rtl w:val="0"/>
        </w:rPr>
        <w:t xml:space="preserve">После того, как уровень инфразвука определен, можно принять меры, перечисленные ранее.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709"/>
        <w:jc w:val="both"/>
        <w:rPr>
          <w:rFonts w:ascii="XO Tahion" w:cs="XO Tahion" w:eastAsia="XO Tahion" w:hAnsi="XO Tahio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04" w:right="73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XO Thames"/>
  <w:font w:name="XO Tahio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XO Thames" w:cs="XO Thames" w:eastAsia="XO Thames" w:hAnsi="XO Thames"/>
        <w:sz w:val="28"/>
        <w:szCs w:val="28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40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both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567" w:line="240" w:lineRule="auto"/>
      <w:ind w:left="0" w:right="0" w:firstLine="0"/>
      <w:jc w:val="center"/>
    </w:pPr>
    <w:rPr>
      <w:rFonts w:ascii="XO Thames" w:cs="XO Thames" w:eastAsia="XO Thames" w:hAnsi="XO Thames"/>
      <w:b w:val="1"/>
      <w:i w:val="0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Style_1" w:default="1">
    <w:name w:val="Normal"/>
    <w:link w:val="Style_1_ch"/>
    <w:uiPriority w:val="0"/>
    <w:qFormat w:val="1"/>
    <w:pPr>
      <w:spacing w:line="240" w:lineRule="auto"/>
      <w:ind/>
      <w:jc w:val="both"/>
    </w:pPr>
    <w:rPr>
      <w:rFonts w:ascii="XO Thames" w:hAnsi="XO Thames"/>
      <w:sz w:val="28"/>
    </w:rPr>
  </w:style>
  <w:style w:type="character" w:styleId="Style_1_ch" w:default="1">
    <w:name w:val="Normal"/>
    <w:link w:val="Style_1"/>
    <w:rPr>
      <w:rFonts w:ascii="XO Thames" w:hAnsi="XO Thames"/>
      <w:sz w:val="28"/>
    </w:rPr>
  </w:style>
  <w:style w:type="paragraph" w:styleId="Style_2">
    <w:name w:val="toc 2"/>
    <w:next w:val="Style_1"/>
    <w:link w:val="Style_2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2_ch">
    <w:name w:val="toc 2"/>
    <w:link w:val="Style_2"/>
    <w:rPr>
      <w:rFonts w:ascii="XO Thames" w:hAnsi="XO Thames"/>
      <w:sz w:val="28"/>
    </w:rPr>
  </w:style>
  <w:style w:type="paragraph" w:styleId="Style_3">
    <w:name w:val="toc 4"/>
    <w:next w:val="Style_1"/>
    <w:link w:val="Style_3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3_ch">
    <w:name w:val="toc 4"/>
    <w:link w:val="Style_3"/>
    <w:rPr>
      <w:rFonts w:ascii="XO Thames" w:hAnsi="XO Thames"/>
      <w:sz w:val="28"/>
    </w:rPr>
  </w:style>
  <w:style w:type="paragraph" w:styleId="Style_4">
    <w:name w:val="toc 6"/>
    <w:next w:val="Style_1"/>
    <w:link w:val="Style_4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4_ch">
    <w:name w:val="toc 6"/>
    <w:link w:val="Style_4"/>
    <w:rPr>
      <w:rFonts w:ascii="XO Thames" w:hAnsi="XO Thames"/>
      <w:sz w:val="28"/>
    </w:rPr>
  </w:style>
  <w:style w:type="paragraph" w:styleId="Style_5">
    <w:name w:val="toc 7"/>
    <w:next w:val="Style_1"/>
    <w:link w:val="Style_5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5_ch">
    <w:name w:val="toc 7"/>
    <w:link w:val="Style_5"/>
    <w:rPr>
      <w:rFonts w:ascii="XO Thames" w:hAnsi="XO Thames"/>
      <w:sz w:val="28"/>
    </w:rPr>
  </w:style>
  <w:style w:type="paragraph" w:styleId="Style_6">
    <w:name w:val="heading 3"/>
    <w:next w:val="Style_1"/>
    <w:link w:val="Style_6_ch"/>
    <w:uiPriority w:val="9"/>
    <w:qFormat w:val="1"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type="character" w:styleId="Style_6_ch">
    <w:name w:val="heading 3"/>
    <w:link w:val="Style_6"/>
    <w:rPr>
      <w:rFonts w:ascii="XO Thames" w:hAnsi="XO Thames"/>
      <w:b w:val="1"/>
      <w:sz w:val="26"/>
    </w:rPr>
  </w:style>
  <w:style w:type="paragraph" w:styleId="Style_7">
    <w:name w:val="toc 3"/>
    <w:next w:val="Style_1"/>
    <w:link w:val="Style_7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7_ch">
    <w:name w:val="toc 3"/>
    <w:link w:val="Style_7"/>
    <w:rPr>
      <w:rFonts w:ascii="XO Thames" w:hAnsi="XO Thames"/>
      <w:sz w:val="28"/>
    </w:rPr>
  </w:style>
  <w:style w:type="paragraph" w:styleId="Style_8">
    <w:name w:val="heading 5"/>
    <w:next w:val="Style_1"/>
    <w:link w:val="Style_8_ch"/>
    <w:uiPriority w:val="9"/>
    <w:qFormat w:val="1"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type="character" w:styleId="Style_8_ch">
    <w:name w:val="heading 5"/>
    <w:link w:val="Style_8"/>
    <w:rPr>
      <w:rFonts w:ascii="XO Thames" w:hAnsi="XO Thames"/>
      <w:b w:val="1"/>
      <w:sz w:val="22"/>
    </w:rPr>
  </w:style>
  <w:style w:type="paragraph" w:styleId="Style_9">
    <w:name w:val="heading 1"/>
    <w:next w:val="Style_1"/>
    <w:link w:val="Style_9_ch"/>
    <w:uiPriority w:val="9"/>
    <w:qFormat w:val="1"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type="character" w:styleId="Style_9_ch">
    <w:name w:val="heading 1"/>
    <w:link w:val="Style_9"/>
    <w:rPr>
      <w:rFonts w:ascii="XO Thames" w:hAnsi="XO Thames"/>
      <w:b w:val="1"/>
      <w:sz w:val="32"/>
    </w:rPr>
  </w:style>
  <w:style w:type="paragraph" w:styleId="Style_10">
    <w:name w:val="Hyperlink"/>
    <w:link w:val="Style_10_ch"/>
    <w:rPr>
      <w:color w:val="0000ff"/>
      <w:u w:val="single"/>
    </w:rPr>
  </w:style>
  <w:style w:type="character" w:styleId="Style_10_ch">
    <w:name w:val="Hyperlink"/>
    <w:link w:val="Style_10"/>
    <w:rPr>
      <w:color w:val="0000ff"/>
      <w:u w:val="single"/>
    </w:rPr>
  </w:style>
  <w:style w:type="paragraph" w:styleId="Style_11">
    <w:name w:val="Footnote"/>
    <w:link w:val="Style_11_ch"/>
    <w:pPr>
      <w:ind w:left="0" w:firstLine="851"/>
      <w:jc w:val="both"/>
    </w:pPr>
    <w:rPr>
      <w:rFonts w:ascii="XO Thames" w:hAnsi="XO Thames"/>
      <w:sz w:val="22"/>
    </w:rPr>
  </w:style>
  <w:style w:type="character" w:styleId="Style_11_ch">
    <w:name w:val="Footnote"/>
    <w:link w:val="Style_11"/>
    <w:rPr>
      <w:rFonts w:ascii="XO Thames" w:hAnsi="XO Thames"/>
      <w:sz w:val="22"/>
    </w:rPr>
  </w:style>
  <w:style w:type="paragraph" w:styleId="Style_12">
    <w:name w:val="toc 1"/>
    <w:next w:val="Style_1"/>
    <w:link w:val="Style_12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12_ch">
    <w:name w:val="toc 1"/>
    <w:link w:val="Style_12"/>
    <w:rPr>
      <w:rFonts w:ascii="XO Thames" w:hAnsi="XO Thames"/>
      <w:b w:val="1"/>
      <w:sz w:val="28"/>
    </w:rPr>
  </w:style>
  <w:style w:type="paragraph" w:styleId="Style_13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13_ch">
    <w:name w:val="Header and Footer"/>
    <w:link w:val="Style_13"/>
    <w:rPr>
      <w:rFonts w:ascii="XO Thames" w:hAnsi="XO Thames"/>
      <w:sz w:val="20"/>
    </w:rPr>
  </w:style>
  <w:style w:type="paragraph" w:styleId="Style_14">
    <w:name w:val="toc 9"/>
    <w:next w:val="Style_1"/>
    <w:link w:val="Style_14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14_ch">
    <w:name w:val="toc 9"/>
    <w:link w:val="Style_14"/>
    <w:rPr>
      <w:rFonts w:ascii="XO Thames" w:hAnsi="XO Thames"/>
      <w:sz w:val="28"/>
    </w:rPr>
  </w:style>
  <w:style w:type="paragraph" w:styleId="Style_15">
    <w:name w:val="toc 8"/>
    <w:next w:val="Style_1"/>
    <w:link w:val="Style_15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15_ch">
    <w:name w:val="toc 8"/>
    <w:link w:val="Style_15"/>
    <w:rPr>
      <w:rFonts w:ascii="XO Thames" w:hAnsi="XO Thames"/>
      <w:sz w:val="28"/>
    </w:rPr>
  </w:style>
  <w:style w:type="paragraph" w:styleId="Style_16">
    <w:name w:val="toc 5"/>
    <w:next w:val="Style_1"/>
    <w:link w:val="Style_16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16_ch">
    <w:name w:val="toc 5"/>
    <w:link w:val="Style_16"/>
    <w:rPr>
      <w:rFonts w:ascii="XO Thames" w:hAnsi="XO Thames"/>
      <w:sz w:val="28"/>
    </w:rPr>
  </w:style>
  <w:style w:type="paragraph" w:styleId="Style_17">
    <w:name w:val="Subtitle"/>
    <w:next w:val="Style_1"/>
    <w:link w:val="Style_17_ch"/>
    <w:uiPriority w:val="11"/>
    <w:qFormat w:val="1"/>
    <w:pPr>
      <w:ind/>
      <w:jc w:val="both"/>
    </w:pPr>
    <w:rPr>
      <w:rFonts w:ascii="XO Thames" w:hAnsi="XO Thames"/>
      <w:i w:val="1"/>
      <w:sz w:val="24"/>
    </w:rPr>
  </w:style>
  <w:style w:type="character" w:styleId="Style_17_ch">
    <w:name w:val="Subtitle"/>
    <w:link w:val="Style_17"/>
    <w:rPr>
      <w:rFonts w:ascii="XO Thames" w:hAnsi="XO Thames"/>
      <w:i w:val="1"/>
      <w:sz w:val="24"/>
    </w:rPr>
  </w:style>
  <w:style w:type="paragraph" w:styleId="Style_18">
    <w:name w:val="Title"/>
    <w:next w:val="Style_1"/>
    <w:link w:val="Style_18_ch"/>
    <w:uiPriority w:val="10"/>
    <w:qFormat w:val="1"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type="character" w:styleId="Style_18_ch">
    <w:name w:val="Title"/>
    <w:link w:val="Style_18"/>
    <w:rPr>
      <w:rFonts w:ascii="XO Thames" w:hAnsi="XO Thames"/>
      <w:b w:val="1"/>
      <w:caps w:val="1"/>
      <w:sz w:val="40"/>
    </w:rPr>
  </w:style>
  <w:style w:type="paragraph" w:styleId="Style_19">
    <w:name w:val="heading 4"/>
    <w:next w:val="Style_1"/>
    <w:link w:val="Style_19_ch"/>
    <w:uiPriority w:val="9"/>
    <w:qFormat w:val="1"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type="character" w:styleId="Style_19_ch">
    <w:name w:val="heading 4"/>
    <w:link w:val="Style_19"/>
    <w:rPr>
      <w:rFonts w:ascii="XO Thames" w:hAnsi="XO Thames"/>
      <w:b w:val="1"/>
      <w:sz w:val="24"/>
    </w:rPr>
  </w:style>
  <w:style w:type="paragraph" w:styleId="Style_20">
    <w:name w:val="heading 2"/>
    <w:next w:val="Style_1"/>
    <w:link w:val="Style_20_ch"/>
    <w:uiPriority w:val="9"/>
    <w:qFormat w:val="1"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type="character" w:styleId="Style_20_ch">
    <w:name w:val="heading 2"/>
    <w:link w:val="Style_20"/>
    <w:rPr>
      <w:rFonts w:ascii="XO Thames" w:hAnsi="XO Thames"/>
      <w:b w:val="1"/>
      <w:sz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XO Thames" w:cs="XO Thames" w:eastAsia="XO Thames" w:hAnsi="XO Tha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dCQ7RIXTsDurXJpiilCgsApLhQ==">AMUW2mXz4uzaBzyru3tGHOrjPuiR/e/RyoLyuaqPqVSfnM9oLQtWveX+aY9PZayuqnkKKCW9YWculGI6Y0F0I1CcJ53moM8lTEBH47ShhGrWs+dynWfPnJ4=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