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Xbcc2b5a52f8764163ad8eaec1d01b306addb7f4"/>
    <w:p>
      <w:pPr>
        <w:pStyle w:val="Heading1"/>
      </w:pPr>
      <w:r>
        <w:t xml:space="preserve">Applied AI Consulting &amp; Development Programme</w:t>
      </w:r>
    </w:p>
    <w:bookmarkStart w:id="9" w:name="Xd3b66e514d36a9996763c0ffb40200e17e6140e"/>
    <w:p>
      <w:pPr>
        <w:pStyle w:val="Heading2"/>
      </w:pPr>
      <w:r>
        <w:t xml:space="preserve">South African Sugar Association (SASA) — Programme Overview</w:t>
      </w:r>
    </w:p>
    <w:p>
      <w:pPr>
        <w:pStyle w:val="FirstParagraph"/>
      </w:pPr>
      <w:r>
        <w:rPr>
          <w:b/>
          <w:bCs/>
        </w:rPr>
        <w:t xml:space="preserve">Reference:</w:t>
      </w:r>
      <w:r>
        <w:t xml:space="preserve"> </w:t>
      </w:r>
      <w:r>
        <w:t xml:space="preserve">PROP-SASA-2026-003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23 March 2026</w:t>
      </w:r>
      <w:r>
        <w:t xml:space="preserve"> </w:t>
      </w:r>
      <w:r>
        <w:rPr>
          <w:b/>
          <w:bCs/>
        </w:rPr>
        <w:t xml:space="preserve">Format:</w:t>
      </w:r>
      <w:r>
        <w:t xml:space="preserve"> </w:t>
      </w:r>
      <w:r>
        <w:t xml:space="preserve">6 sessions × 7 hours | In-person, Mount Edgecombe | ~2 weeks between sessions</w:t>
      </w:r>
    </w:p>
    <w:p>
      <w:pPr>
        <w:pStyle w:val="BlockText"/>
      </w:pPr>
      <w:r>
        <w:rPr>
          <w:b/>
          <w:bCs/>
        </w:rPr>
        <w:t xml:space="preserve">Deadline:</w:t>
      </w:r>
      <w:r>
        <w:t xml:space="preserve"> </w:t>
      </w:r>
      <w:r>
        <w:t xml:space="preserve">All documentation approved by Wednesday, 25 March 2026.</w:t>
      </w:r>
    </w:p>
    <w:p>
      <w:r>
        <w:pict>
          <v:rect style="width:0;height:1.5pt" o:hralign="center" o:hrstd="t" o:hr="t"/>
        </w:pict>
      </w:r>
    </w:p>
    <w:bookmarkEnd w:id="9"/>
    <w:bookmarkStart w:id="16" w:name="programme-at-a-glance"/>
    <w:p>
      <w:pPr>
        <w:pStyle w:val="Heading2"/>
      </w:pPr>
      <w:r>
        <w:t xml:space="preserve">Programme at a Glance</w:t>
      </w:r>
    </w:p>
    <w:bookmarkStart w:id="10" w:name="X0e89772894adae47c1024134f15207cb532dc55"/>
    <w:p>
      <w:pPr>
        <w:pStyle w:val="Heading3"/>
      </w:pPr>
      <w:r>
        <w:t xml:space="preserve">Session 1 — Foundations Audit &amp; Prompt Foundations</w:t>
      </w:r>
    </w:p>
    <w:p>
      <w:pPr>
        <w:pStyle w:val="Compact"/>
        <w:numPr>
          <w:ilvl w:val="0"/>
          <w:numId w:val="1001"/>
        </w:numPr>
      </w:pPr>
      <w:r>
        <w:t xml:space="preserve">Map SASA data landscape (R7106, LIMS, Autolab, mill reports)</w:t>
      </w:r>
    </w:p>
    <w:p>
      <w:pPr>
        <w:pStyle w:val="Compact"/>
        <w:numPr>
          <w:ilvl w:val="0"/>
          <w:numId w:val="1001"/>
        </w:numPr>
      </w:pPr>
      <w:r>
        <w:t xml:space="preserve">Configure tooling and shared Claude account</w:t>
      </w:r>
    </w:p>
    <w:p>
      <w:pPr>
        <w:pStyle w:val="Compact"/>
        <w:numPr>
          <w:ilvl w:val="0"/>
          <w:numId w:val="1001"/>
        </w:numPr>
      </w:pPr>
      <w:r>
        <w:t xml:space="preserve">Prompt engineering fundamentals: structure, iteration, Claude-specific techniques</w:t>
      </w:r>
    </w:p>
    <w:p>
      <w:pPr>
        <w:pStyle w:val="Compact"/>
        <w:numPr>
          <w:ilvl w:val="0"/>
          <w:numId w:val="1001"/>
        </w:numPr>
      </w:pPr>
      <w:r>
        <w:t xml:space="preserve">Establish shared prompt library and consulting log</w:t>
      </w:r>
    </w:p>
    <w:bookmarkEnd w:id="10"/>
    <w:bookmarkStart w:id="11" w:name="X2807232b53905e9b2ccc1274a78b80ef8e1a8ab"/>
    <w:p>
      <w:pPr>
        <w:pStyle w:val="Heading3"/>
      </w:pPr>
      <w:r>
        <w:t xml:space="preserve">Session 2 — Excel as a Data Engineering Surface</w:t>
      </w:r>
    </w:p>
    <w:p>
      <w:pPr>
        <w:pStyle w:val="Compact"/>
        <w:numPr>
          <w:ilvl w:val="0"/>
          <w:numId w:val="1002"/>
        </w:numPr>
      </w:pPr>
      <w:r>
        <w:t xml:space="preserve">Rebuild a SASA Excel report using Claude as co-pilot</w:t>
      </w:r>
    </w:p>
    <w:p>
      <w:pPr>
        <w:pStyle w:val="Compact"/>
        <w:numPr>
          <w:ilvl w:val="0"/>
          <w:numId w:val="1002"/>
        </w:numPr>
      </w:pPr>
      <w:r>
        <w:t xml:space="preserve">Build reusable Excel prompt library (summarise, flag, extract, compare)</w:t>
      </w:r>
    </w:p>
    <w:p>
      <w:pPr>
        <w:pStyle w:val="Compact"/>
        <w:numPr>
          <w:ilvl w:val="0"/>
          <w:numId w:val="1002"/>
        </w:numPr>
      </w:pPr>
      <w:r>
        <w:t xml:space="preserve">Design exception-flagging template for one reporting area</w:t>
      </w:r>
    </w:p>
    <w:p>
      <w:pPr>
        <w:pStyle w:val="Compact"/>
        <w:numPr>
          <w:ilvl w:val="0"/>
          <w:numId w:val="1002"/>
        </w:numPr>
      </w:pPr>
      <w:r>
        <w:t xml:space="preserve">Copilot Excel integration — compare with Claude workflow</w:t>
      </w:r>
    </w:p>
    <w:bookmarkEnd w:id="11"/>
    <w:bookmarkStart w:id="12" w:name="X9ecf9d9931848edf3a7f41ced23685db6ead972"/>
    <w:p>
      <w:pPr>
        <w:pStyle w:val="Heading3"/>
      </w:pPr>
      <w:r>
        <w:t xml:space="preserve">Session 3 — Large Datasets, RAG &amp; Context Management</w:t>
      </w:r>
    </w:p>
    <w:p>
      <w:pPr>
        <w:pStyle w:val="Compact"/>
        <w:numPr>
          <w:ilvl w:val="0"/>
          <w:numId w:val="1003"/>
        </w:numPr>
      </w:pPr>
      <w:r>
        <w:t xml:space="preserve">Retrieval Augmented Generation: query large SASA datasets without uploading everything</w:t>
      </w:r>
    </w:p>
    <w:p>
      <w:pPr>
        <w:pStyle w:val="Compact"/>
        <w:numPr>
          <w:ilvl w:val="0"/>
          <w:numId w:val="1003"/>
        </w:numPr>
      </w:pPr>
      <w:r>
        <w:t xml:space="preserve">Context window management: when to paste, chunk, or use RAG</w:t>
      </w:r>
    </w:p>
    <w:p>
      <w:pPr>
        <w:pStyle w:val="Compact"/>
        <w:numPr>
          <w:ilvl w:val="0"/>
          <w:numId w:val="1003"/>
        </w:numPr>
      </w:pPr>
      <w:r>
        <w:t xml:space="preserve">Chunking and summarisation chains for 10-year multi-centre data</w:t>
      </w:r>
    </w:p>
    <w:p>
      <w:pPr>
        <w:pStyle w:val="Compact"/>
        <w:numPr>
          <w:ilvl w:val="0"/>
          <w:numId w:val="1003"/>
        </w:numPr>
      </w:pPr>
      <w:r>
        <w:t xml:space="preserve">SASA data-preparation checklist for LIMS, Autolab, and mill formats</w:t>
      </w:r>
    </w:p>
    <w:bookmarkEnd w:id="12"/>
    <w:bookmarkStart w:id="13" w:name="X14675cb3a90fc645458f8f7becf6317171965a8"/>
    <w:p>
      <w:pPr>
        <w:pStyle w:val="Heading3"/>
      </w:pPr>
      <w:r>
        <w:t xml:space="preserve">Session 4 — Python &amp; Node.js as Integration Glue</w:t>
      </w:r>
    </w:p>
    <w:p>
      <w:pPr>
        <w:pStyle w:val="Compact"/>
        <w:numPr>
          <w:ilvl w:val="0"/>
          <w:numId w:val="1004"/>
        </w:numPr>
      </w:pPr>
      <w:r>
        <w:t xml:space="preserve">AI-generated Python pipeline: LIMS export → transformation → flagged output</w:t>
      </w:r>
    </w:p>
    <w:p>
      <w:pPr>
        <w:pStyle w:val="Compact"/>
        <w:numPr>
          <w:ilvl w:val="0"/>
          <w:numId w:val="1004"/>
        </w:numPr>
      </w:pPr>
      <w:r>
        <w:t xml:space="preserve">Node.js for API and SharePoint connectors</w:t>
      </w:r>
    </w:p>
    <w:p>
      <w:pPr>
        <w:pStyle w:val="Compact"/>
        <w:numPr>
          <w:ilvl w:val="0"/>
          <w:numId w:val="1004"/>
        </w:numPr>
      </w:pPr>
      <w:r>
        <w:t xml:space="preserve">Version control basics for AI-generated code</w:t>
      </w:r>
    </w:p>
    <w:p>
      <w:pPr>
        <w:pStyle w:val="Compact"/>
        <w:numPr>
          <w:ilvl w:val="0"/>
          <w:numId w:val="1004"/>
        </w:numPr>
      </w:pPr>
      <w:r>
        <w:t xml:space="preserve">Automation candidate list per team area</w:t>
      </w:r>
    </w:p>
    <w:bookmarkEnd w:id="13"/>
    <w:bookmarkStart w:id="14" w:name="X34163d84e462055aafa4c3b90e73a93003d3536"/>
    <w:p>
      <w:pPr>
        <w:pStyle w:val="Heading3"/>
      </w:pPr>
      <w:r>
        <w:t xml:space="preserve">Session 5 — Reporting &amp; AI-Generated Narratives</w:t>
      </w:r>
    </w:p>
    <w:p>
      <w:pPr>
        <w:pStyle w:val="Compact"/>
        <w:numPr>
          <w:ilvl w:val="0"/>
          <w:numId w:val="1005"/>
        </w:numPr>
      </w:pPr>
      <w:r>
        <w:t xml:space="preserve">Eliminate manual report commentary with repeatable Claude workflows</w:t>
      </w:r>
    </w:p>
    <w:p>
      <w:pPr>
        <w:pStyle w:val="Compact"/>
        <w:numPr>
          <w:ilvl w:val="0"/>
          <w:numId w:val="1005"/>
        </w:numPr>
      </w:pPr>
      <w:r>
        <w:t xml:space="preserve">AI-assisted report draft from real SASA data — reviewed by a director in-session</w:t>
      </w:r>
    </w:p>
    <w:p>
      <w:pPr>
        <w:pStyle w:val="Compact"/>
        <w:numPr>
          <w:ilvl w:val="0"/>
          <w:numId w:val="1005"/>
        </w:numPr>
      </w:pPr>
      <w:r>
        <w:t xml:space="preserve">Copilot PowerPoint: generate slides from a data summary</w:t>
      </w:r>
    </w:p>
    <w:p>
      <w:pPr>
        <w:pStyle w:val="Compact"/>
        <w:numPr>
          <w:ilvl w:val="0"/>
          <w:numId w:val="1005"/>
        </w:numPr>
      </w:pPr>
      <w:r>
        <w:t xml:space="preserve">Reusable report commentary template in SASA house style</w:t>
      </w:r>
    </w:p>
    <w:bookmarkEnd w:id="14"/>
    <w:bookmarkStart w:id="15" w:name="Xaa7b7628a98616831a468c52fcb8e6710e1e5c1"/>
    <w:p>
      <w:pPr>
        <w:pStyle w:val="Heading3"/>
      </w:pPr>
      <w:r>
        <w:t xml:space="preserve">Session 6 — Local AI Infrastructure, Governance &amp; Roadmap</w:t>
      </w:r>
    </w:p>
    <w:p>
      <w:pPr>
        <w:pStyle w:val="Compact"/>
        <w:numPr>
          <w:ilvl w:val="0"/>
          <w:numId w:val="1006"/>
        </w:numPr>
      </w:pPr>
      <w:r>
        <w:t xml:space="preserve">Install local AI model on SASA server (Ollama + Open WebUI)</w:t>
      </w:r>
    </w:p>
    <w:p>
      <w:pPr>
        <w:pStyle w:val="Compact"/>
        <w:numPr>
          <w:ilvl w:val="0"/>
          <w:numId w:val="1006"/>
        </w:numPr>
      </w:pPr>
      <w:r>
        <w:t xml:space="preserve">Browser access for all team members — no software on individual machines</w:t>
      </w:r>
    </w:p>
    <w:p>
      <w:pPr>
        <w:pStyle w:val="Compact"/>
        <w:numPr>
          <w:ilvl w:val="0"/>
          <w:numId w:val="1006"/>
        </w:numPr>
      </w:pPr>
      <w:r>
        <w:t xml:space="preserve">SASA data governance policy: cloud vs. on-premise classification</w:t>
      </w:r>
    </w:p>
    <w:p>
      <w:pPr>
        <w:pStyle w:val="Compact"/>
        <w:numPr>
          <w:ilvl w:val="0"/>
          <w:numId w:val="1006"/>
        </w:numPr>
      </w:pPr>
      <w:r>
        <w:t xml:space="preserve">12-month integration roadmap + individual 90-day action plans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investment"/>
    <w:p>
      <w:pPr>
        <w:pStyle w:val="Heading2"/>
      </w:pPr>
      <w:r>
        <w:t xml:space="preserve">Investment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Sessions</w:t>
            </w:r>
          </w:p>
        </w:tc>
        <w:tc>
          <w:tcPr/>
          <w:p>
            <w:pPr>
              <w:pStyle w:val="Compact"/>
            </w:pPr>
            <w:r>
              <w:t xml:space="preserve">Total (excl. VAT)</w:t>
            </w:r>
          </w:p>
        </w:tc>
        <w:tc>
          <w:tcPr/>
          <w:p>
            <w:pPr>
              <w:pStyle w:val="Compact"/>
            </w:pPr>
            <w:r>
              <w:t xml:space="preserve">VAT (15%)</w:t>
            </w:r>
          </w:p>
        </w:tc>
        <w:tc>
          <w:tcPr/>
          <w:p>
            <w:pPr>
              <w:pStyle w:val="Compact"/>
            </w:pPr>
            <w:r>
              <w:t xml:space="preserve">Total (incl. VAT)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6-session programme</w:t>
            </w:r>
          </w:p>
        </w:tc>
        <w:tc>
          <w:tcPr/>
          <w:p>
            <w:pPr>
              <w:pStyle w:val="Compact"/>
            </w:pPr>
            <w:r>
              <w:t xml:space="preserve">6 × 7 hrs @ R3,500</w:t>
            </w:r>
          </w:p>
        </w:tc>
        <w:tc>
          <w:tcPr/>
          <w:p>
            <w:pPr>
              <w:pStyle w:val="Compact"/>
            </w:pPr>
            <w:r>
              <w:t xml:space="preserve">R21,000</w:t>
            </w:r>
          </w:p>
        </w:tc>
        <w:tc>
          <w:tcPr/>
          <w:p>
            <w:pPr>
              <w:pStyle w:val="Compact"/>
            </w:pPr>
            <w:r>
              <w:t xml:space="preserve">R3,150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R24,150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Extension (Sessions 7–10)</w:t>
            </w:r>
          </w:p>
        </w:tc>
        <w:tc>
          <w:tcPr/>
          <w:p>
            <w:pPr>
              <w:pStyle w:val="Compact"/>
            </w:pPr>
            <w:r>
              <w:t xml:space="preserve">4 × 7 hrs @ R3,500</w:t>
            </w:r>
          </w:p>
        </w:tc>
        <w:tc>
          <w:tcPr/>
          <w:p>
            <w:pPr>
              <w:pStyle w:val="Compact"/>
            </w:pPr>
            <w:r>
              <w:t xml:space="preserve">R14,000</w:t>
            </w:r>
          </w:p>
        </w:tc>
        <w:tc>
          <w:tcPr/>
          <w:p>
            <w:pPr>
              <w:pStyle w:val="Compact"/>
            </w:pPr>
            <w:r>
              <w:t xml:space="preserve">R2,100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R16,100</w:t>
            </w:r>
          </w:p>
        </w:tc>
      </w:tr>
    </w:tbl>
    <w:p>
      <w:pPr>
        <w:pStyle w:val="BodyText"/>
      </w:pPr>
      <w:r>
        <w:rPr>
          <w:i/>
          <w:iCs/>
        </w:rPr>
        <w:t xml:space="preserve">Sessions invoiced individually on completion. Extension covers LIMS integration, agentic workflows, source system deployment, and capstone review.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To confirm, please respond to this document or issue a PO referencing PROP-SASA-2026-003.</w:t>
      </w:r>
    </w:p>
    <w:p>
      <w:pPr>
        <w:pStyle w:val="BodyText"/>
      </w:pPr>
      <w:r>
        <w:rPr>
          <w:b/>
          <w:bCs/>
        </w:rPr>
        <w:t xml:space="preserve">Richard [Surname] | [Email] | [Phone] | [Company]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2026-03-23T17:18:10Z</dcterms:created>
  <dcterms:modified xsi:type="dcterms:W3CDTF">2026-03-23T17:18:10Z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