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cc2b5a52f8764163ad8eaec1d01b306addb7f4"/>
    <w:p>
      <w:pPr>
        <w:pStyle w:val="Heading1"/>
      </w:pPr>
      <w:r>
        <w:t xml:space="preserve">Applied AI Consulting &amp; Development Programme</w:t>
      </w:r>
    </w:p>
    <w:bookmarkStart w:id="9" w:name="Xd3b66e514d36a9996763c0ffb40200e17e6140e"/>
    <w:p>
      <w:pPr>
        <w:pStyle w:val="Heading2"/>
      </w:pPr>
      <w:r>
        <w:t xml:space="preserve">South African Sugar Association (SASA) — Programme Overview</w:t>
      </w:r>
    </w:p>
    <w:p>
      <w:pPr>
        <w:pStyle w:val="FirstParagraph"/>
      </w:pPr>
      <w:r>
        <w:rPr>
          <w:b/>
          <w:bCs/>
        </w:rPr>
        <w:t xml:space="preserve">Reference:</w:t>
      </w:r>
      <w:r>
        <w:t xml:space="preserve"> </w:t>
      </w:r>
      <w:r>
        <w:t xml:space="preserve">PROP-SASA-2026-006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23 March 2026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6 sessions × 7 hours | In-person, Mount Edgecombe | ~2 weeks between sessions</w:t>
      </w:r>
    </w:p>
    <w:p>
      <w:pPr>
        <w:pStyle w:val="BlockText"/>
      </w:pPr>
      <w:r>
        <w:rPr>
          <w:b/>
          <w:bCs/>
        </w:rPr>
        <w:t xml:space="preserve">Deadline:</w:t>
      </w:r>
      <w:r>
        <w:t xml:space="preserve"> </w:t>
      </w:r>
      <w:r>
        <w:t xml:space="preserve">All documentation approved by Wednesday, 25 March 2026.</w:t>
      </w:r>
    </w:p>
    <w:p>
      <w:r>
        <w:pict>
          <v:rect style="width:0;height:1.5pt" o:hralign="center" o:hrstd="t" o:hr="t"/>
        </w:pict>
      </w:r>
    </w:p>
    <w:bookmarkEnd w:id="9"/>
    <w:bookmarkStart w:id="16" w:name="programme-at-a-glance"/>
    <w:p>
      <w:pPr>
        <w:pStyle w:val="Heading2"/>
      </w:pPr>
      <w:r>
        <w:t xml:space="preserve">Programme at a Glance</w:t>
      </w:r>
    </w:p>
    <w:bookmarkStart w:id="10" w:name="Xb04723913b7c52790e94c2766c4b02ccb9b8352"/>
    <w:p>
      <w:pPr>
        <w:pStyle w:val="Heading3"/>
      </w:pPr>
      <w:r>
        <w:t xml:space="preserve">Session 1 — Foundations Audit, Strategic Framing &amp; Prompt Engineering</w:t>
      </w:r>
    </w:p>
    <w:p>
      <w:pPr>
        <w:pStyle w:val="Compact"/>
        <w:numPr>
          <w:ilvl w:val="0"/>
          <w:numId w:val="1001"/>
        </w:numPr>
      </w:pPr>
      <w:r>
        <w:t xml:space="preserve">Map SASA data landscape (R7106, LIMS, Autolab, mill reports)</w:t>
      </w:r>
    </w:p>
    <w:p>
      <w:pPr>
        <w:pStyle w:val="Compact"/>
        <w:numPr>
          <w:ilvl w:val="0"/>
          <w:numId w:val="1001"/>
        </w:numPr>
      </w:pPr>
      <w:r>
        <w:t xml:space="preserve">Configure tooling and shared Claude account</w:t>
      </w:r>
    </w:p>
    <w:p>
      <w:pPr>
        <w:pStyle w:val="Compact"/>
        <w:numPr>
          <w:ilvl w:val="0"/>
          <w:numId w:val="1001"/>
        </w:numPr>
      </w:pPr>
      <w:r>
        <w:t xml:space="preserve">Prompt engineering fundamentals: RCTF anatomy, XML tags, 200K context window, iteration workflow</w:t>
      </w:r>
    </w:p>
    <w:p>
      <w:pPr>
        <w:pStyle w:val="Compact"/>
        <w:numPr>
          <w:ilvl w:val="0"/>
          <w:numId w:val="1001"/>
        </w:numPr>
      </w:pPr>
      <w:r>
        <w:t xml:space="preserve">Establish shared prompt library and consulting log</w:t>
      </w:r>
    </w:p>
    <w:bookmarkEnd w:id="10"/>
    <w:bookmarkStart w:id="11" w:name="Xb0a284bdb4205b05d4568b8fe1e3ae9d73f36e5"/>
    <w:p>
      <w:pPr>
        <w:pStyle w:val="Heading3"/>
      </w:pPr>
      <w:r>
        <w:t xml:space="preserve">Session 2 — Excel, Reporting &amp; AI-Generated Workflows</w:t>
      </w:r>
    </w:p>
    <w:p>
      <w:pPr>
        <w:pStyle w:val="Compact"/>
        <w:numPr>
          <w:ilvl w:val="0"/>
          <w:numId w:val="1002"/>
        </w:numPr>
      </w:pPr>
      <w:r>
        <w:t xml:space="preserve">Rebuild a SASA Excel report using Claude as co-pilot</w:t>
      </w:r>
    </w:p>
    <w:p>
      <w:pPr>
        <w:pStyle w:val="Compact"/>
        <w:numPr>
          <w:ilvl w:val="0"/>
          <w:numId w:val="1002"/>
        </w:numPr>
      </w:pPr>
      <w:r>
        <w:t xml:space="preserve">Build reusable Excel prompt library (summarise, flag, extract, compare)</w:t>
      </w:r>
    </w:p>
    <w:p>
      <w:pPr>
        <w:pStyle w:val="Compact"/>
        <w:numPr>
          <w:ilvl w:val="0"/>
          <w:numId w:val="1002"/>
        </w:numPr>
      </w:pPr>
      <w:r>
        <w:t xml:space="preserve">Design exception-flagging template for one reporting area</w:t>
      </w:r>
    </w:p>
    <w:p>
      <w:pPr>
        <w:pStyle w:val="Compact"/>
        <w:numPr>
          <w:ilvl w:val="0"/>
          <w:numId w:val="1002"/>
        </w:numPr>
      </w:pPr>
      <w:r>
        <w:t xml:space="preserve">Copilot Excel and PowerPoint integration</w:t>
      </w:r>
    </w:p>
    <w:p>
      <w:pPr>
        <w:pStyle w:val="Compact"/>
        <w:numPr>
          <w:ilvl w:val="0"/>
          <w:numId w:val="1002"/>
        </w:numPr>
      </w:pPr>
      <w:r>
        <w:t xml:space="preserve">Build repeatable report narrative workflow: data → prompt → draft → director sign-off</w:t>
      </w:r>
    </w:p>
    <w:p>
      <w:pPr>
        <w:pStyle w:val="Compact"/>
        <w:numPr>
          <w:ilvl w:val="0"/>
          <w:numId w:val="1002"/>
        </w:numPr>
      </w:pPr>
      <w:r>
        <w:t xml:space="preserve">Produce one complete AI-assisted report draft, reviewed in-session</w:t>
      </w:r>
    </w:p>
    <w:bookmarkEnd w:id="11"/>
    <w:bookmarkStart w:id="12" w:name="X9ecf9d9931848edf3a7f41ced23685db6ead972"/>
    <w:p>
      <w:pPr>
        <w:pStyle w:val="Heading3"/>
      </w:pPr>
      <w:r>
        <w:t xml:space="preserve">Session 3 — Large Datasets, RAG &amp; Context Management</w:t>
      </w:r>
    </w:p>
    <w:p>
      <w:pPr>
        <w:pStyle w:val="Compact"/>
        <w:numPr>
          <w:ilvl w:val="0"/>
          <w:numId w:val="1003"/>
        </w:numPr>
      </w:pPr>
      <w:r>
        <w:t xml:space="preserve">Retrieval Augmented Generation: query large SASA datasets without uploading everything</w:t>
      </w:r>
    </w:p>
    <w:p>
      <w:pPr>
        <w:pStyle w:val="Compact"/>
        <w:numPr>
          <w:ilvl w:val="0"/>
          <w:numId w:val="1003"/>
        </w:numPr>
      </w:pPr>
      <w:r>
        <w:t xml:space="preserve">Context window management: when to paste, chunk, or use RAG</w:t>
      </w:r>
    </w:p>
    <w:p>
      <w:pPr>
        <w:pStyle w:val="Compact"/>
        <w:numPr>
          <w:ilvl w:val="0"/>
          <w:numId w:val="1003"/>
        </w:numPr>
      </w:pPr>
      <w:r>
        <w:t xml:space="preserve">Chunking and summarisation chains for 10-year multi-centre data</w:t>
      </w:r>
    </w:p>
    <w:p>
      <w:pPr>
        <w:pStyle w:val="Compact"/>
        <w:numPr>
          <w:ilvl w:val="0"/>
          <w:numId w:val="1003"/>
        </w:numPr>
      </w:pPr>
      <w:r>
        <w:t xml:space="preserve">SASA data-preparation checklist for LIMS, Autolab, and mill formats</w:t>
      </w:r>
    </w:p>
    <w:bookmarkEnd w:id="12"/>
    <w:bookmarkStart w:id="13" w:name="session-4-python-automation-pipelines"/>
    <w:p>
      <w:pPr>
        <w:pStyle w:val="Heading3"/>
      </w:pPr>
      <w:r>
        <w:t xml:space="preserve">Session 4 — Python &amp; Automation Pipelines</w:t>
      </w:r>
    </w:p>
    <w:p>
      <w:pPr>
        <w:pStyle w:val="Compact"/>
        <w:numPr>
          <w:ilvl w:val="0"/>
          <w:numId w:val="1004"/>
        </w:numPr>
      </w:pPr>
      <w:r>
        <w:t xml:space="preserve">AI-generated Python pipeline: LIMS export → transformation → flagged output</w:t>
      </w:r>
    </w:p>
    <w:p>
      <w:pPr>
        <w:pStyle w:val="Compact"/>
        <w:numPr>
          <w:ilvl w:val="0"/>
          <w:numId w:val="1004"/>
        </w:numPr>
      </w:pPr>
      <w:r>
        <w:t xml:space="preserve">Node.js for API and SharePoint connectors</w:t>
      </w:r>
    </w:p>
    <w:p>
      <w:pPr>
        <w:pStyle w:val="Compact"/>
        <w:numPr>
          <w:ilvl w:val="0"/>
          <w:numId w:val="1004"/>
        </w:numPr>
      </w:pPr>
      <w:r>
        <w:t xml:space="preserve">Version control basics for AI-generated code</w:t>
      </w:r>
    </w:p>
    <w:p>
      <w:pPr>
        <w:pStyle w:val="Compact"/>
        <w:numPr>
          <w:ilvl w:val="0"/>
          <w:numId w:val="1004"/>
        </w:numPr>
      </w:pPr>
      <w:r>
        <w:t xml:space="preserve">Automation candidate list per team area (input to Session 6 build day)</w:t>
      </w:r>
    </w:p>
    <w:bookmarkEnd w:id="13"/>
    <w:bookmarkStart w:id="14" w:name="Xfad7260466805da46a13a8c9bbdbe3c7435cf54"/>
    <w:p>
      <w:pPr>
        <w:pStyle w:val="Heading3"/>
      </w:pPr>
      <w:r>
        <w:t xml:space="preserve">Session 5 — Local AI Infrastructure &amp; Agentic Workflows</w:t>
      </w:r>
    </w:p>
    <w:p>
      <w:pPr>
        <w:pStyle w:val="Compact"/>
        <w:numPr>
          <w:ilvl w:val="0"/>
          <w:numId w:val="1005"/>
        </w:numPr>
      </w:pPr>
      <w:r>
        <w:t xml:space="preserve">Install local AI model on SASA server (Ollama + Open WebUI)</w:t>
      </w:r>
    </w:p>
    <w:p>
      <w:pPr>
        <w:pStyle w:val="Compact"/>
        <w:numPr>
          <w:ilvl w:val="0"/>
          <w:numId w:val="1005"/>
        </w:numPr>
      </w:pPr>
      <w:r>
        <w:t xml:space="preserve">Browser access for all team members — no software on individual machines</w:t>
      </w:r>
    </w:p>
    <w:p>
      <w:pPr>
        <w:pStyle w:val="Compact"/>
        <w:numPr>
          <w:ilvl w:val="0"/>
          <w:numId w:val="1005"/>
        </w:numPr>
      </w:pPr>
      <w:r>
        <w:t xml:space="preserve">Local RAG: query internal SASA documents with no internet connection</w:t>
      </w:r>
    </w:p>
    <w:p>
      <w:pPr>
        <w:pStyle w:val="Compact"/>
        <w:numPr>
          <w:ilvl w:val="0"/>
          <w:numId w:val="1005"/>
        </w:numPr>
      </w:pPr>
      <w:r>
        <w:t xml:space="preserve">SASA data governance policy: cloud vs. on-premise classification</w:t>
      </w:r>
    </w:p>
    <w:p>
      <w:pPr>
        <w:pStyle w:val="Compact"/>
        <w:numPr>
          <w:ilvl w:val="0"/>
          <w:numId w:val="1005"/>
        </w:numPr>
      </w:pPr>
      <w:r>
        <w:t xml:space="preserve">Introduction to agents: AI that does tasks, not just answers questions</w:t>
      </w:r>
    </w:p>
    <w:p>
      <w:pPr>
        <w:pStyle w:val="Compact"/>
        <w:numPr>
          <w:ilvl w:val="0"/>
          <w:numId w:val="1005"/>
        </w:numPr>
      </w:pPr>
      <w:r>
        <w:t xml:space="preserve">Build a SASA agent pipeline: data → exception check → alert → SharePoint output (n8n)</w:t>
      </w:r>
    </w:p>
    <w:bookmarkEnd w:id="14"/>
    <w:bookmarkStart w:id="15" w:name="X980dad143244d538789e649f6b7688477e70aec"/>
    <w:p>
      <w:pPr>
        <w:pStyle w:val="Heading3"/>
      </w:pPr>
      <w:r>
        <w:t xml:space="preserve">Session 6 — Build Day, Governance &amp; Programme Roadmap</w:t>
      </w:r>
    </w:p>
    <w:p>
      <w:pPr>
        <w:pStyle w:val="Compact"/>
        <w:numPr>
          <w:ilvl w:val="0"/>
          <w:numId w:val="1006"/>
        </w:numPr>
      </w:pPr>
      <w:r>
        <w:t xml:space="preserve">Teams build one working tool from their automation candidate lists (morning)</w:t>
      </w:r>
    </w:p>
    <w:p>
      <w:pPr>
        <w:pStyle w:val="Compact"/>
        <w:numPr>
          <w:ilvl w:val="0"/>
          <w:numId w:val="1006"/>
        </w:numPr>
      </w:pPr>
      <w:r>
        <w:t xml:space="preserve">Showcase builds; each group presents their output</w:t>
      </w:r>
    </w:p>
    <w:p>
      <w:pPr>
        <w:pStyle w:val="Compact"/>
        <w:numPr>
          <w:ilvl w:val="0"/>
          <w:numId w:val="1006"/>
        </w:numPr>
      </w:pPr>
      <w:r>
        <w:t xml:space="preserve">SASA AI governance framework: acceptable use, data classification, prompt library ownership</w:t>
      </w:r>
    </w:p>
    <w:p>
      <w:pPr>
        <w:pStyle w:val="Compact"/>
        <w:numPr>
          <w:ilvl w:val="0"/>
          <w:numId w:val="1006"/>
        </w:numPr>
      </w:pPr>
      <w:r>
        <w:t xml:space="preserve">12-month integration roadmap + individual 90-day action plans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investment"/>
    <w:p>
      <w:pPr>
        <w:pStyle w:val="Heading2"/>
      </w:pPr>
      <w:r>
        <w:t xml:space="preserve">Investment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Total (excl. VAT)</w:t>
            </w:r>
          </w:p>
        </w:tc>
        <w:tc>
          <w:tcPr/>
          <w:p>
            <w:pPr>
              <w:pStyle w:val="Compact"/>
            </w:pPr>
            <w:r>
              <w:t xml:space="preserve">VAT (15%)</w:t>
            </w:r>
          </w:p>
        </w:tc>
        <w:tc>
          <w:tcPr/>
          <w:p>
            <w:pPr>
              <w:pStyle w:val="Compact"/>
            </w:pPr>
            <w:r>
              <w:t xml:space="preserve">Total (incl. VAT)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6-session programme</w:t>
            </w:r>
          </w:p>
        </w:tc>
        <w:tc>
          <w:tcPr/>
          <w:p>
            <w:pPr>
              <w:pStyle w:val="Compact"/>
            </w:pPr>
            <w:r>
              <w:t xml:space="preserve">6 × 7 hrs @ R3,500</w:t>
            </w:r>
          </w:p>
        </w:tc>
        <w:tc>
          <w:tcPr/>
          <w:p>
            <w:pPr>
              <w:pStyle w:val="Compact"/>
            </w:pPr>
            <w:r>
              <w:t xml:space="preserve">R21,000</w:t>
            </w:r>
          </w:p>
        </w:tc>
        <w:tc>
          <w:tcPr/>
          <w:p>
            <w:pPr>
              <w:pStyle w:val="Compact"/>
            </w:pPr>
            <w:r>
              <w:t xml:space="preserve">R3,150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R24,150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(Sessions 7–10)</w:t>
            </w:r>
          </w:p>
        </w:tc>
        <w:tc>
          <w:tcPr/>
          <w:p>
            <w:pPr>
              <w:pStyle w:val="Compact"/>
            </w:pPr>
            <w:r>
              <w:t xml:space="preserve">4 × 7 hrs @ R3,500</w:t>
            </w:r>
          </w:p>
        </w:tc>
        <w:tc>
          <w:tcPr/>
          <w:p>
            <w:pPr>
              <w:pStyle w:val="Compact"/>
            </w:pPr>
            <w:r>
              <w:t xml:space="preserve">R14,000</w:t>
            </w:r>
          </w:p>
        </w:tc>
        <w:tc>
          <w:tcPr/>
          <w:p>
            <w:pPr>
              <w:pStyle w:val="Compact"/>
            </w:pPr>
            <w:r>
              <w:t xml:space="preserve">R2,100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R16,100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Sessions invoiced individually on completion. Extension covers LIMS &amp; Autolab deep integration, advanced agentic workflows, source system deployment, and capstone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confirm, please respond to this document or issue a PO referencing PROP-SASA-2026-006.</w:t>
      </w:r>
    </w:p>
    <w:p>
      <w:pPr>
        <w:pStyle w:val="BodyText"/>
      </w:pPr>
      <w:r>
        <w:rPr>
          <w:b/>
          <w:bCs/>
        </w:rPr>
        <w:t xml:space="preserve">Richard Shewry | [Email] | [Phone] | VillageIO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2026-03-24T08:49:10Z</dcterms:created>
  <dcterms:modified xsi:type="dcterms:W3CDTF">2026-03-24T08:49:10Z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