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b/>
          <w:bCs/>
          <w:color w:val="1F4E79"/>
          <w:sz w:val="30"/>
          <w:szCs w:val="30"/>
        </w:rPr>
        <w:t xml:space="preserve">BPMSquare</w:t>
      </w:r>
    </w:p>
    <w:p>
      <w:pPr>
        <w:spacing w:after="160"/>
        <w:jc w:val="center"/>
      </w:pPr>
      <w:r>
        <w:rPr>
          <w:b/>
          <w:bCs/>
          <w:sz w:val="52"/>
          <w:szCs w:val="52"/>
        </w:rPr>
        <w:t xml:space="preserve">Module Subscription</w:t>
      </w:r>
    </w:p>
    <w:p>
      <w:pPr>
        <w:spacing w:after="700"/>
        <w:jc w:val="center"/>
      </w:pPr>
      <w:r>
        <w:rPr>
          <w:color w:val="555555"/>
          <w:sz w:val="24"/>
          <w:szCs w:val="24"/>
        </w:rPr>
        <w:t xml:space="preserve">Feature flags and navigation scoping</w:t>
      </w:r>
    </w:p>
    <w:p>
      <w:pPr>
        <w:spacing w:after="80"/>
        <w:jc w:val="center"/>
      </w:pPr>
      <w:r>
        <w:rPr>
          <w:color w:val="777777"/>
          <w:sz w:val="21"/>
          <w:szCs w:val="21"/>
        </w:rPr>
        <w:t xml:space="preserve">Technical &amp; Functional Specification with Test Cases</w:t>
      </w:r>
    </w:p>
    <w:p>
      <w:pPr>
        <w:jc w:val="center"/>
      </w:pPr>
      <w:r>
        <w:rPr>
          <w:color w:val="777777"/>
          <w:sz w:val="20"/>
          <w:szCs w:val="20"/>
        </w:rPr>
        <w:t xml:space="preserve">Version 1.0  ·  6 August 2026  ·  Status: on develop, pending UAT</w:t>
      </w:r>
    </w:p>
    <w:p>
      <w:pPr>
        <w:pageBreakBefore/>
      </w:pPr>
    </w:p>
    <w:p>
      <w:pPr>
        <w:pStyle w:val="Heading1"/>
        <w:spacing w:after="160" w:before="320"/>
      </w:pPr>
      <w:r>
        <w:t xml:space="preserve">1. Purpose</w:t>
      </w:r>
    </w:p>
    <w:p>
      <w:pPr>
        <w:spacing w:after="110"/>
      </w:pPr>
      <w:r>
        <w:rPr>
          <w:b w:val="false"/>
          <w:bCs w:val="false"/>
          <w:i w:val="false"/>
          <w:iCs w:val="false"/>
          <w:sz w:val="21"/>
          <w:szCs w:val="21"/>
        </w:rPr>
        <w:t xml:space="preserve">BPMSquare is one codebase serving every client. This feature makes each client's workspace show only the modules they have actually subscribed to, so a Workforce-only client is not presented with Quotations, Cases or Marketing.</w:t>
      </w:r>
    </w:p>
    <w:p>
      <w:pPr>
        <w:pStyle w:val="Heading1"/>
        <w:spacing w:after="160" w:before="320"/>
      </w:pPr>
      <w:r>
        <w:t xml:space="preserve">2. Two independent layers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900"/>
      </w:tblGrid>
      <w:tr>
        <w:trPr>
          <w:tblHeader/>
        </w:trPr>
        <w:tc>
          <w:tcPr>
            <w:tcW w:type="dxa" w:w="2600"/>
            <w:shd w:fill="1F4E79" w:val="clear"/>
            <w:tcMar>
              <w:top w:type="dxa" w:w="60"/>
              <w:left w:type="dxa" w:w="90"/>
              <w:bottom w:type="dxa" w:w="60"/>
              <w:right w:type="dxa" w:w="90"/>
            </w:tcMar>
          </w:tcPr>
          <w:p>
            <w:r>
              <w:rPr>
                <w:b/>
                <w:bCs/>
                <w:color w:val="FFFFFF"/>
                <w:sz w:val="19"/>
                <w:szCs w:val="19"/>
              </w:rPr>
              <w:t xml:space="preserve">Layer</w:t>
            </w:r>
          </w:p>
        </w:tc>
        <w:tc>
          <w:tcPr>
            <w:tcW w:type="dxa" w:w="3200"/>
            <w:shd w:fill="1F4E79" w:val="clear"/>
            <w:tcMar>
              <w:top w:type="dxa" w:w="60"/>
              <w:left w:type="dxa" w:w="90"/>
              <w:bottom w:type="dxa" w:w="60"/>
              <w:right w:type="dxa" w:w="90"/>
            </w:tcMar>
          </w:tcPr>
          <w:p>
            <w:r>
              <w:rPr>
                <w:b/>
                <w:bCs/>
                <w:color w:val="FFFFFF"/>
                <w:sz w:val="19"/>
                <w:szCs w:val="19"/>
              </w:rPr>
              <w:t xml:space="preserve">Who controls it</w:t>
            </w:r>
          </w:p>
        </w:tc>
        <w:tc>
          <w:tcPr>
            <w:tcW w:type="dxa" w:w="3900"/>
            <w:shd w:fill="1F4E79" w:val="clear"/>
            <w:tcMar>
              <w:top w:type="dxa" w:w="60"/>
              <w:left w:type="dxa" w:w="90"/>
              <w:bottom w:type="dxa" w:w="60"/>
              <w:right w:type="dxa" w:w="90"/>
            </w:tcMar>
          </w:tcPr>
          <w:p>
            <w:r>
              <w:rPr>
                <w:b/>
                <w:bCs/>
                <w:color w:val="FFFFFF"/>
                <w:sz w:val="19"/>
                <w:szCs w:val="19"/>
              </w:rPr>
              <w:t xml:space="preserve">Purpose</w:t>
            </w:r>
          </w:p>
        </w:tc>
      </w:tr>
      <w:tr>
        <w:tc>
          <w:tcPr>
            <w:tcW w:type="dxa" w:w="2600"/>
            <w:shd w:fill="FFFFFF" w:val="clear"/>
            <w:tcMar>
              <w:top w:type="dxa" w:w="60"/>
              <w:left w:type="dxa" w:w="90"/>
              <w:bottom w:type="dxa" w:w="60"/>
              <w:right w:type="dxa" w:w="90"/>
            </w:tcMar>
          </w:tcPr>
          <w:p>
            <w:r>
              <w:rPr>
                <w:b w:val="false"/>
                <w:bCs w:val="false"/>
                <w:color w:val="000000"/>
                <w:sz w:val="19"/>
                <w:szCs w:val="19"/>
              </w:rPr>
              <w:t xml:space="preserve">Subscription (feature flags)</w:t>
            </w:r>
          </w:p>
        </w:tc>
        <w:tc>
          <w:tcPr>
            <w:tcW w:type="dxa" w:w="3200"/>
            <w:shd w:fill="FFFFFF" w:val="clear"/>
            <w:tcMar>
              <w:top w:type="dxa" w:w="60"/>
              <w:left w:type="dxa" w:w="90"/>
              <w:bottom w:type="dxa" w:w="60"/>
              <w:right w:type="dxa" w:w="90"/>
            </w:tcMar>
          </w:tcPr>
          <w:p>
            <w:r>
              <w:rPr>
                <w:b w:val="false"/>
                <w:bCs w:val="false"/>
                <w:color w:val="000000"/>
                <w:sz w:val="19"/>
                <w:szCs w:val="19"/>
              </w:rPr>
              <w:t xml:space="preserve">BPMSquare platform admin, at Admin → Tenants → Features</w:t>
            </w:r>
          </w:p>
        </w:tc>
        <w:tc>
          <w:tcPr>
            <w:tcW w:type="dxa" w:w="3900"/>
            <w:shd w:fill="FFFFFF" w:val="clear"/>
            <w:tcMar>
              <w:top w:type="dxa" w:w="60"/>
              <w:left w:type="dxa" w:w="90"/>
              <w:bottom w:type="dxa" w:w="60"/>
              <w:right w:type="dxa" w:w="90"/>
            </w:tcMar>
          </w:tcPr>
          <w:p>
            <w:r>
              <w:rPr>
                <w:b w:val="false"/>
                <w:bCs w:val="false"/>
                <w:color w:val="000000"/>
                <w:sz w:val="19"/>
                <w:szCs w:val="19"/>
              </w:rPr>
              <w:t xml:space="preserve">What the client has bought. Hides the module AND blocks direct URL access.</w:t>
            </w:r>
          </w:p>
        </w:tc>
      </w:tr>
      <w:tr>
        <w:tc>
          <w:tcPr>
            <w:tcW w:type="dxa" w:w="2600"/>
            <w:shd w:fill="F2F6FA" w:val="clear"/>
            <w:tcMar>
              <w:top w:type="dxa" w:w="60"/>
              <w:left w:type="dxa" w:w="90"/>
              <w:bottom w:type="dxa" w:w="60"/>
              <w:right w:type="dxa" w:w="90"/>
            </w:tcMar>
          </w:tcPr>
          <w:p>
            <w:r>
              <w:rPr>
                <w:b w:val="false"/>
                <w:bCs w:val="false"/>
                <w:color w:val="000000"/>
                <w:sz w:val="19"/>
                <w:szCs w:val="19"/>
              </w:rPr>
              <w:t xml:space="preserve">Navigation preferences</w:t>
            </w:r>
          </w:p>
        </w:tc>
        <w:tc>
          <w:tcPr>
            <w:tcW w:type="dxa" w:w="3200"/>
            <w:shd w:fill="F2F6FA" w:val="clear"/>
            <w:tcMar>
              <w:top w:type="dxa" w:w="60"/>
              <w:left w:type="dxa" w:w="90"/>
              <w:bottom w:type="dxa" w:w="60"/>
              <w:right w:type="dxa" w:w="90"/>
            </w:tcMar>
          </w:tcPr>
          <w:p>
            <w:r>
              <w:rPr>
                <w:b w:val="false"/>
                <w:bCs w:val="false"/>
                <w:color w:val="000000"/>
                <w:sz w:val="19"/>
                <w:szCs w:val="19"/>
              </w:rPr>
              <w:t xml:space="preserve">The client's own admin, at Settings → General</w:t>
            </w:r>
          </w:p>
        </w:tc>
        <w:tc>
          <w:tcPr>
            <w:tcW w:type="dxa" w:w="3900"/>
            <w:shd w:fill="F2F6FA" w:val="clear"/>
            <w:tcMar>
              <w:top w:type="dxa" w:w="60"/>
              <w:left w:type="dxa" w:w="90"/>
              <w:bottom w:type="dxa" w:w="60"/>
              <w:right w:type="dxa" w:w="90"/>
            </w:tcMar>
          </w:tcPr>
          <w:p>
            <w:r>
              <w:rPr>
                <w:b w:val="false"/>
                <w:bCs w:val="false"/>
                <w:color w:val="000000"/>
                <w:sz w:val="19"/>
                <w:szCs w:val="19"/>
              </w:rPr>
              <w:t xml:space="preserve">'We bought it but don't use it.' Cosmetic hiding of items they do have.</w:t>
            </w:r>
          </w:p>
        </w:tc>
      </w:tr>
    </w:tbl>
    <w:p>
      <w:pPr>
        <w:pStyle w:val="Heading1"/>
        <w:spacing w:after="160" w:before="320"/>
      </w:pPr>
      <w:r>
        <w:t xml:space="preserve">3. Flags</w:t>
      </w:r>
    </w:p>
    <w:p>
      <w:pPr>
        <w:spacing w:after="110"/>
      </w:pPr>
      <w:r>
        <w:rPr>
          <w:b w:val="false"/>
          <w:bCs w:val="false"/>
          <w:i w:val="false"/>
          <w:iCs w:val="false"/>
          <w:sz w:val="21"/>
          <w:szCs w:val="21"/>
        </w:rPr>
        <w:t xml:space="preserve">One flag per navigation item, for fine-grained control: accounts, contacts, quotations, cases, work_orders, technicians, assets, suppliers, reports, data_workbench, administration — alongside the pre-existing flags (leads, pipeline, amc, dispatch, invoices, partners, marketing, purchasing, standard_quotes, business_roles, change_history, outbound_email, wfm and others).</w:t>
      </w:r>
    </w:p>
    <w:p>
      <w:pPr>
        <w:spacing w:after="110"/>
      </w:pPr>
      <w:r>
        <w:rPr>
          <w:b w:val="false"/>
          <w:bCs w:val="false"/>
          <w:i w:val="false"/>
          <w:iCs w:val="false"/>
          <w:sz w:val="21"/>
          <w:szCs w:val="21"/>
        </w:rPr>
        <w:t xml:space="preserve">The Dashboard is always available; it is the landing page. Settings tiles are tied to the module they configure, so a Workforce-only client sees only General, Team and Workforce under Settings.</w:t>
      </w:r>
    </w:p>
    <w:p>
      <w:pPr>
        <w:pStyle w:val="Heading1"/>
        <w:spacing w:after="160" w:before="320"/>
      </w:pPr>
      <w:r>
        <w:t xml:space="preserve">4. Enforcement</w:t>
      </w:r>
    </w:p>
    <w:p>
      <w:pPr>
        <w:spacing w:after="110"/>
      </w:pPr>
      <w:r>
        <w:rPr>
          <w:b w:val="false"/>
          <w:bCs w:val="false"/>
          <w:i w:val="false"/>
          <w:iCs w:val="false"/>
          <w:sz w:val="21"/>
          <w:szCs w:val="21"/>
        </w:rPr>
        <w:t xml:space="preserve">Hiding a menu item alone would be cosmetic — the URL would still work. Each gated page therefore also calls the server-side feature check and redirects if the module is not subscribed.</w:t>
      </w:r>
    </w:p>
    <w:p>
      <w:pPr>
        <w:pStyle w:val="Heading1"/>
        <w:spacing w:after="160" w:before="320"/>
      </w:pPr>
      <w:r>
        <w:t xml:space="preserve">5. Migration risk (important)</w:t>
      </w:r>
    </w:p>
    <w:p>
      <w:pPr>
        <w:pBdr>
          <w:top w:val="single" w:color="E8C98A" w:sz="2"/>
          <w:bottom w:val="single" w:color="E8C98A" w:sz="2"/>
          <w:left w:val="single" w:color="E8A33D" w:sz="12"/>
          <w:right w:val="single" w:color="E8C98A" w:sz="2"/>
        </w:pBdr>
        <w:shd w:fill="FFF6E5" w:val="clear"/>
        <w:spacing w:after="160" w:before="120"/>
        <w:ind w:left="120" w:right="120"/>
      </w:pPr>
      <w:r>
        <w:rPr>
          <w:i/>
          <w:iCs/>
          <w:color w:val="7A4B00"/>
          <w:sz w:val="20"/>
          <w:szCs w:val="20"/>
        </w:rPr>
        <w:t xml:space="preserve">The application reads a missing flag as OFF. Adding these gates without first writing them ON would instantly strip navigation from every existing client. Migration 0067 therefore backfills all eleven flags to true for every existing tenant, preserving any value already set. It MUST be applied before this code reaches production.</w:t>
      </w:r>
    </w:p>
    <w:p>
      <w:pPr>
        <w:spacing w:after="110"/>
      </w:pPr>
      <w:r>
        <w:rPr>
          <w:b w:val="false"/>
          <w:bCs w:val="false"/>
          <w:i w:val="false"/>
          <w:iCs w:val="false"/>
          <w:sz w:val="21"/>
          <w:szCs w:val="21"/>
        </w:rPr>
        <w:t xml:space="preserve">New tenants default these modules ON, because a workspace with them all off would contain nothing but a Dashboard. The platform admin then unticks whatever the client did not buy.</w:t>
      </w:r>
    </w:p>
    <w:p>
      <w:pPr>
        <w:pStyle w:val="Heading1"/>
        <w:spacing w:after="160" w:before="320"/>
      </w:pPr>
      <w:r>
        <w:t xml:space="preserve">6. Interaction with Business Roles</w:t>
      </w:r>
    </w:p>
    <w:p>
      <w:pPr>
        <w:spacing w:after="110"/>
      </w:pPr>
      <w:r>
        <w:rPr>
          <w:b w:val="false"/>
          <w:bCs w:val="false"/>
          <w:i w:val="false"/>
          <w:iCs w:val="false"/>
          <w:sz w:val="21"/>
          <w:szCs w:val="21"/>
        </w:rPr>
        <w:t xml:space="preserve">The two are layered and independent. A feature flag decides whether the tenant has the module at all; a Business Role decides which members within that tenant may use it. A module that is switched off is invisible to everyone, including tenant admins.</w:t>
      </w:r>
    </w:p>
    <w:p>
      <w:pPr>
        <w:pStyle w:val="Heading1"/>
        <w:spacing w:after="160" w:before="320"/>
      </w:pPr>
      <w:r>
        <w:t xml:space="preserve">7. Test cases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000"/>
        <w:gridCol w:w="3300"/>
      </w:tblGrid>
      <w:tr>
        <w:trPr>
          <w:tblHeader/>
        </w:trPr>
        <w:tc>
          <w:tcPr>
            <w:tcW w:type="dxa" w:w="900"/>
            <w:shd w:fill="1F4E79" w:val="clear"/>
            <w:tcMar>
              <w:top w:type="dxa" w:w="60"/>
              <w:left w:type="dxa" w:w="90"/>
              <w:bottom w:type="dxa" w:w="60"/>
              <w:right w:type="dxa" w:w="90"/>
            </w:tcMar>
          </w:tcPr>
          <w:p>
            <w:r>
              <w:rPr>
                <w:b/>
                <w:bCs/>
                <w:color w:val="FFFFFF"/>
                <w:sz w:val="19"/>
                <w:szCs w:val="19"/>
              </w:rPr>
              <w:t xml:space="preserve">ID</w:t>
            </w:r>
          </w:p>
        </w:tc>
        <w:tc>
          <w:tcPr>
            <w:tcW w:type="dxa" w:w="2500"/>
            <w:shd w:fill="1F4E79" w:val="clear"/>
            <w:tcMar>
              <w:top w:type="dxa" w:w="60"/>
              <w:left w:type="dxa" w:w="90"/>
              <w:bottom w:type="dxa" w:w="60"/>
              <w:right w:type="dxa" w:w="90"/>
            </w:tcMar>
          </w:tcPr>
          <w:p>
            <w:r>
              <w:rPr>
                <w:b/>
                <w:bCs/>
                <w:color w:val="FFFFFF"/>
                <w:sz w:val="19"/>
                <w:szCs w:val="19"/>
              </w:rPr>
              <w:t xml:space="preserve">Scenario</w:t>
            </w:r>
          </w:p>
        </w:tc>
        <w:tc>
          <w:tcPr>
            <w:tcW w:type="dxa" w:w="3000"/>
            <w:shd w:fill="1F4E79" w:val="clear"/>
            <w:tcMar>
              <w:top w:type="dxa" w:w="60"/>
              <w:left w:type="dxa" w:w="90"/>
              <w:bottom w:type="dxa" w:w="60"/>
              <w:right w:type="dxa" w:w="90"/>
            </w:tcMar>
          </w:tcPr>
          <w:p>
            <w:r>
              <w:rPr>
                <w:b/>
                <w:bCs/>
                <w:color w:val="FFFFFF"/>
                <w:sz w:val="19"/>
                <w:szCs w:val="19"/>
              </w:rPr>
              <w:t xml:space="preserve">Steps</w:t>
            </w:r>
          </w:p>
        </w:tc>
        <w:tc>
          <w:tcPr>
            <w:tcW w:type="dxa" w:w="3300"/>
            <w:shd w:fill="1F4E79" w:val="clear"/>
            <w:tcMar>
              <w:top w:type="dxa" w:w="60"/>
              <w:left w:type="dxa" w:w="90"/>
              <w:bottom w:type="dxa" w:w="60"/>
              <w:right w:type="dxa" w:w="90"/>
            </w:tcMar>
          </w:tcPr>
          <w:p>
            <w:r>
              <w:rPr>
                <w:b/>
                <w:bCs/>
                <w:color w:val="FFFFFF"/>
                <w:sz w:val="19"/>
                <w:szCs w:val="19"/>
              </w:rPr>
              <w:t xml:space="preserve">Expected result</w:t>
            </w:r>
          </w:p>
        </w:tc>
      </w:tr>
      <w:tr>
        <w:tc>
          <w:tcPr>
            <w:tcW w:type="dxa" w:w="900"/>
            <w:shd w:fill="FFFFFF" w:val="clear"/>
            <w:tcMar>
              <w:top w:type="dxa" w:w="60"/>
              <w:left w:type="dxa" w:w="90"/>
              <w:bottom w:type="dxa" w:w="60"/>
              <w:right w:type="dxa" w:w="90"/>
            </w:tcMar>
          </w:tcPr>
          <w:p>
            <w:r>
              <w:rPr>
                <w:b w:val="false"/>
                <w:bCs w:val="false"/>
                <w:color w:val="000000"/>
                <w:sz w:val="19"/>
                <w:szCs w:val="19"/>
              </w:rPr>
              <w:t xml:space="preserve">MOD-01</w:t>
            </w:r>
          </w:p>
        </w:tc>
        <w:tc>
          <w:tcPr>
            <w:tcW w:type="dxa" w:w="2500"/>
            <w:shd w:fill="FFFFFF" w:val="clear"/>
            <w:tcMar>
              <w:top w:type="dxa" w:w="60"/>
              <w:left w:type="dxa" w:w="90"/>
              <w:bottom w:type="dxa" w:w="60"/>
              <w:right w:type="dxa" w:w="90"/>
            </w:tcMar>
          </w:tcPr>
          <w:p>
            <w:r>
              <w:rPr>
                <w:b w:val="false"/>
                <w:bCs w:val="false"/>
                <w:color w:val="000000"/>
                <w:sz w:val="19"/>
                <w:szCs w:val="19"/>
              </w:rPr>
              <w:t xml:space="preserve">Backfill safety</w:t>
            </w:r>
          </w:p>
        </w:tc>
        <w:tc>
          <w:tcPr>
            <w:tcW w:type="dxa" w:w="3000"/>
            <w:shd w:fill="FFFFFF" w:val="clear"/>
            <w:tcMar>
              <w:top w:type="dxa" w:w="60"/>
              <w:left w:type="dxa" w:w="90"/>
              <w:bottom w:type="dxa" w:w="60"/>
              <w:right w:type="dxa" w:w="90"/>
            </w:tcMar>
          </w:tcPr>
          <w:p>
            <w:r>
              <w:rPr>
                <w:b w:val="false"/>
                <w:bCs w:val="false"/>
                <w:color w:val="000000"/>
                <w:sz w:val="19"/>
                <w:szCs w:val="19"/>
              </w:rPr>
              <w:t xml:space="preserve">Apply 0067 to a database with existing tenants, then log in as each.</w:t>
            </w:r>
          </w:p>
        </w:tc>
        <w:tc>
          <w:tcPr>
            <w:tcW w:type="dxa" w:w="3300"/>
            <w:shd w:fill="FFFFFF" w:val="clear"/>
            <w:tcMar>
              <w:top w:type="dxa" w:w="60"/>
              <w:left w:type="dxa" w:w="90"/>
              <w:bottom w:type="dxa" w:w="60"/>
              <w:right w:type="dxa" w:w="90"/>
            </w:tcMar>
          </w:tcPr>
          <w:p>
            <w:r>
              <w:rPr>
                <w:b w:val="false"/>
                <w:bCs w:val="false"/>
                <w:color w:val="000000"/>
                <w:sz w:val="19"/>
                <w:szCs w:val="19"/>
              </w:rPr>
              <w:t xml:space="preserve">Navigation is unchanged for every existing tenant. Nothing disappears.</w:t>
            </w:r>
          </w:p>
        </w:tc>
      </w:tr>
      <w:tr>
        <w:tc>
          <w:tcPr>
            <w:tcW w:type="dxa" w:w="900"/>
            <w:shd w:fill="F2F6FA" w:val="clear"/>
            <w:tcMar>
              <w:top w:type="dxa" w:w="60"/>
              <w:left w:type="dxa" w:w="90"/>
              <w:bottom w:type="dxa" w:w="60"/>
              <w:right w:type="dxa" w:w="90"/>
            </w:tcMar>
          </w:tcPr>
          <w:p>
            <w:r>
              <w:rPr>
                <w:b w:val="false"/>
                <w:bCs w:val="false"/>
                <w:color w:val="000000"/>
                <w:sz w:val="19"/>
                <w:szCs w:val="19"/>
              </w:rPr>
              <w:t xml:space="preserve">MOD-02</w:t>
            </w:r>
          </w:p>
        </w:tc>
        <w:tc>
          <w:tcPr>
            <w:tcW w:type="dxa" w:w="2500"/>
            <w:shd w:fill="F2F6FA" w:val="clear"/>
            <w:tcMar>
              <w:top w:type="dxa" w:w="60"/>
              <w:left w:type="dxa" w:w="90"/>
              <w:bottom w:type="dxa" w:w="60"/>
              <w:right w:type="dxa" w:w="90"/>
            </w:tcMar>
          </w:tcPr>
          <w:p>
            <w:r>
              <w:rPr>
                <w:b w:val="false"/>
                <w:bCs w:val="false"/>
                <w:color w:val="000000"/>
                <w:sz w:val="19"/>
                <w:szCs w:val="19"/>
              </w:rPr>
              <w:t xml:space="preserve">Turn a module off</w:t>
            </w:r>
          </w:p>
        </w:tc>
        <w:tc>
          <w:tcPr>
            <w:tcW w:type="dxa" w:w="3000"/>
            <w:shd w:fill="F2F6FA" w:val="clear"/>
            <w:tcMar>
              <w:top w:type="dxa" w:w="60"/>
              <w:left w:type="dxa" w:w="90"/>
              <w:bottom w:type="dxa" w:w="60"/>
              <w:right w:type="dxa" w:w="90"/>
            </w:tcMar>
          </w:tcPr>
          <w:p>
            <w:r>
              <w:rPr>
                <w:b w:val="false"/>
                <w:bCs w:val="false"/>
                <w:color w:val="000000"/>
                <w:sz w:val="19"/>
                <w:szCs w:val="19"/>
              </w:rPr>
              <w:t xml:space="preserve">As platform admin, untick Quotations for a tenant.</w:t>
            </w:r>
          </w:p>
        </w:tc>
        <w:tc>
          <w:tcPr>
            <w:tcW w:type="dxa" w:w="3300"/>
            <w:shd w:fill="F2F6FA" w:val="clear"/>
            <w:tcMar>
              <w:top w:type="dxa" w:w="60"/>
              <w:left w:type="dxa" w:w="90"/>
              <w:bottom w:type="dxa" w:w="60"/>
              <w:right w:type="dxa" w:w="90"/>
            </w:tcMar>
          </w:tcPr>
          <w:p>
            <w:r>
              <w:rPr>
                <w:b w:val="false"/>
                <w:bCs w:val="false"/>
                <w:color w:val="000000"/>
                <w:sz w:val="19"/>
                <w:szCs w:val="19"/>
              </w:rPr>
              <w:t xml:space="preserve">Quotations disappears from that tenant's navigation on next load.</w:t>
            </w:r>
          </w:p>
        </w:tc>
      </w:tr>
      <w:tr>
        <w:tc>
          <w:tcPr>
            <w:tcW w:type="dxa" w:w="900"/>
            <w:shd w:fill="FFFFFF" w:val="clear"/>
            <w:tcMar>
              <w:top w:type="dxa" w:w="60"/>
              <w:left w:type="dxa" w:w="90"/>
              <w:bottom w:type="dxa" w:w="60"/>
              <w:right w:type="dxa" w:w="90"/>
            </w:tcMar>
          </w:tcPr>
          <w:p>
            <w:r>
              <w:rPr>
                <w:b w:val="false"/>
                <w:bCs w:val="false"/>
                <w:color w:val="000000"/>
                <w:sz w:val="19"/>
                <w:szCs w:val="19"/>
              </w:rPr>
              <w:t xml:space="preserve">MOD-03</w:t>
            </w:r>
          </w:p>
        </w:tc>
        <w:tc>
          <w:tcPr>
            <w:tcW w:type="dxa" w:w="2500"/>
            <w:shd w:fill="FFFFFF" w:val="clear"/>
            <w:tcMar>
              <w:top w:type="dxa" w:w="60"/>
              <w:left w:type="dxa" w:w="90"/>
              <w:bottom w:type="dxa" w:w="60"/>
              <w:right w:type="dxa" w:w="90"/>
            </w:tcMar>
          </w:tcPr>
          <w:p>
            <w:r>
              <w:rPr>
                <w:b w:val="false"/>
                <w:bCs w:val="false"/>
                <w:color w:val="000000"/>
                <w:sz w:val="19"/>
                <w:szCs w:val="19"/>
              </w:rPr>
              <w:t xml:space="preserve">URL enforcement</w:t>
            </w:r>
          </w:p>
        </w:tc>
        <w:tc>
          <w:tcPr>
            <w:tcW w:type="dxa" w:w="3000"/>
            <w:shd w:fill="FFFFFF" w:val="clear"/>
            <w:tcMar>
              <w:top w:type="dxa" w:w="60"/>
              <w:left w:type="dxa" w:w="90"/>
              <w:bottom w:type="dxa" w:w="60"/>
              <w:right w:type="dxa" w:w="90"/>
            </w:tcMar>
          </w:tcPr>
          <w:p>
            <w:r>
              <w:rPr>
                <w:b w:val="false"/>
                <w:bCs w:val="false"/>
                <w:color w:val="000000"/>
                <w:sz w:val="19"/>
                <w:szCs w:val="19"/>
              </w:rPr>
              <w:t xml:space="preserve">With Quotations off, type /quotations directly.</w:t>
            </w:r>
          </w:p>
        </w:tc>
        <w:tc>
          <w:tcPr>
            <w:tcW w:type="dxa" w:w="3300"/>
            <w:shd w:fill="FFFFFF" w:val="clear"/>
            <w:tcMar>
              <w:top w:type="dxa" w:w="60"/>
              <w:left w:type="dxa" w:w="90"/>
              <w:bottom w:type="dxa" w:w="60"/>
              <w:right w:type="dxa" w:w="90"/>
            </w:tcMar>
          </w:tcPr>
          <w:p>
            <w:r>
              <w:rPr>
                <w:b w:val="false"/>
                <w:bCs w:val="false"/>
                <w:color w:val="000000"/>
                <w:sz w:val="19"/>
                <w:szCs w:val="19"/>
              </w:rPr>
              <w:t xml:space="preserve">Redirected away. The page does not render.</w:t>
            </w:r>
          </w:p>
        </w:tc>
      </w:tr>
      <w:tr>
        <w:tc>
          <w:tcPr>
            <w:tcW w:type="dxa" w:w="900"/>
            <w:shd w:fill="F2F6FA" w:val="clear"/>
            <w:tcMar>
              <w:top w:type="dxa" w:w="60"/>
              <w:left w:type="dxa" w:w="90"/>
              <w:bottom w:type="dxa" w:w="60"/>
              <w:right w:type="dxa" w:w="90"/>
            </w:tcMar>
          </w:tcPr>
          <w:p>
            <w:r>
              <w:rPr>
                <w:b w:val="false"/>
                <w:bCs w:val="false"/>
                <w:color w:val="000000"/>
                <w:sz w:val="19"/>
                <w:szCs w:val="19"/>
              </w:rPr>
              <w:t xml:space="preserve">MOD-04</w:t>
            </w:r>
          </w:p>
        </w:tc>
        <w:tc>
          <w:tcPr>
            <w:tcW w:type="dxa" w:w="2500"/>
            <w:shd w:fill="F2F6FA" w:val="clear"/>
            <w:tcMar>
              <w:top w:type="dxa" w:w="60"/>
              <w:left w:type="dxa" w:w="90"/>
              <w:bottom w:type="dxa" w:w="60"/>
              <w:right w:type="dxa" w:w="90"/>
            </w:tcMar>
          </w:tcPr>
          <w:p>
            <w:r>
              <w:rPr>
                <w:b w:val="false"/>
                <w:bCs w:val="false"/>
                <w:color w:val="000000"/>
                <w:sz w:val="19"/>
                <w:szCs w:val="19"/>
              </w:rPr>
              <w:t xml:space="preserve">Workforce-only client</w:t>
            </w:r>
          </w:p>
        </w:tc>
        <w:tc>
          <w:tcPr>
            <w:tcW w:type="dxa" w:w="3000"/>
            <w:shd w:fill="F2F6FA" w:val="clear"/>
            <w:tcMar>
              <w:top w:type="dxa" w:w="60"/>
              <w:left w:type="dxa" w:w="90"/>
              <w:bottom w:type="dxa" w:w="60"/>
              <w:right w:type="dxa" w:w="90"/>
            </w:tcMar>
          </w:tcPr>
          <w:p>
            <w:r>
              <w:rPr>
                <w:b w:val="false"/>
                <w:bCs w:val="false"/>
                <w:color w:val="000000"/>
                <w:sz w:val="19"/>
                <w:szCs w:val="19"/>
              </w:rPr>
              <w:t xml:space="preserve">Untick every module except Workforce.</w:t>
            </w:r>
          </w:p>
        </w:tc>
        <w:tc>
          <w:tcPr>
            <w:tcW w:type="dxa" w:w="3300"/>
            <w:shd w:fill="F2F6FA" w:val="clear"/>
            <w:tcMar>
              <w:top w:type="dxa" w:w="60"/>
              <w:left w:type="dxa" w:w="90"/>
              <w:bottom w:type="dxa" w:w="60"/>
              <w:right w:type="dxa" w:w="90"/>
            </w:tcMar>
          </w:tcPr>
          <w:p>
            <w:r>
              <w:rPr>
                <w:b w:val="false"/>
                <w:bCs w:val="false"/>
                <w:color w:val="000000"/>
                <w:sz w:val="19"/>
                <w:szCs w:val="19"/>
              </w:rPr>
              <w:t xml:space="preserve">Only Dashboard and Workforce remain; Settings shows only General, Team and Workforce.</w:t>
            </w:r>
          </w:p>
        </w:tc>
      </w:tr>
      <w:tr>
        <w:tc>
          <w:tcPr>
            <w:tcW w:type="dxa" w:w="900"/>
            <w:shd w:fill="FFFFFF" w:val="clear"/>
            <w:tcMar>
              <w:top w:type="dxa" w:w="60"/>
              <w:left w:type="dxa" w:w="90"/>
              <w:bottom w:type="dxa" w:w="60"/>
              <w:right w:type="dxa" w:w="90"/>
            </w:tcMar>
          </w:tcPr>
          <w:p>
            <w:r>
              <w:rPr>
                <w:b w:val="false"/>
                <w:bCs w:val="false"/>
                <w:color w:val="000000"/>
                <w:sz w:val="19"/>
                <w:szCs w:val="19"/>
              </w:rPr>
              <w:t xml:space="preserve">MOD-05</w:t>
            </w:r>
          </w:p>
        </w:tc>
        <w:tc>
          <w:tcPr>
            <w:tcW w:type="dxa" w:w="2500"/>
            <w:shd w:fill="FFFFFF" w:val="clear"/>
            <w:tcMar>
              <w:top w:type="dxa" w:w="60"/>
              <w:left w:type="dxa" w:w="90"/>
              <w:bottom w:type="dxa" w:w="60"/>
              <w:right w:type="dxa" w:w="90"/>
            </w:tcMar>
          </w:tcPr>
          <w:p>
            <w:r>
              <w:rPr>
                <w:b w:val="false"/>
                <w:bCs w:val="false"/>
                <w:color w:val="000000"/>
                <w:sz w:val="19"/>
                <w:szCs w:val="19"/>
              </w:rPr>
              <w:t xml:space="preserve">Admin is not exempt</w:t>
            </w:r>
          </w:p>
        </w:tc>
        <w:tc>
          <w:tcPr>
            <w:tcW w:type="dxa" w:w="3000"/>
            <w:shd w:fill="FFFFFF" w:val="clear"/>
            <w:tcMar>
              <w:top w:type="dxa" w:w="60"/>
              <w:left w:type="dxa" w:w="90"/>
              <w:bottom w:type="dxa" w:w="60"/>
              <w:right w:type="dxa" w:w="90"/>
            </w:tcMar>
          </w:tcPr>
          <w:p>
            <w:r>
              <w:rPr>
                <w:b w:val="false"/>
                <w:bCs w:val="false"/>
                <w:color w:val="000000"/>
                <w:sz w:val="19"/>
                <w:szCs w:val="19"/>
              </w:rPr>
              <w:t xml:space="preserve">As a tenant admin of that client, look for Quotations.</w:t>
            </w:r>
          </w:p>
        </w:tc>
        <w:tc>
          <w:tcPr>
            <w:tcW w:type="dxa" w:w="3300"/>
            <w:shd w:fill="FFFFFF" w:val="clear"/>
            <w:tcMar>
              <w:top w:type="dxa" w:w="60"/>
              <w:left w:type="dxa" w:w="90"/>
              <w:bottom w:type="dxa" w:w="60"/>
              <w:right w:type="dxa" w:w="90"/>
            </w:tcMar>
          </w:tcPr>
          <w:p>
            <w:r>
              <w:rPr>
                <w:b w:val="false"/>
                <w:bCs w:val="false"/>
                <w:color w:val="000000"/>
                <w:sz w:val="19"/>
                <w:szCs w:val="19"/>
              </w:rPr>
              <w:t xml:space="preserve">Still hidden. Subscription outranks tenant role.</w:t>
            </w:r>
          </w:p>
        </w:tc>
      </w:tr>
      <w:tr>
        <w:tc>
          <w:tcPr>
            <w:tcW w:type="dxa" w:w="900"/>
            <w:shd w:fill="F2F6FA" w:val="clear"/>
            <w:tcMar>
              <w:top w:type="dxa" w:w="60"/>
              <w:left w:type="dxa" w:w="90"/>
              <w:bottom w:type="dxa" w:w="60"/>
              <w:right w:type="dxa" w:w="90"/>
            </w:tcMar>
          </w:tcPr>
          <w:p>
            <w:r>
              <w:rPr>
                <w:b w:val="false"/>
                <w:bCs w:val="false"/>
                <w:color w:val="000000"/>
                <w:sz w:val="19"/>
                <w:szCs w:val="19"/>
              </w:rPr>
              <w:t xml:space="preserve">MOD-06</w:t>
            </w:r>
          </w:p>
        </w:tc>
        <w:tc>
          <w:tcPr>
            <w:tcW w:type="dxa" w:w="2500"/>
            <w:shd w:fill="F2F6FA" w:val="clear"/>
            <w:tcMar>
              <w:top w:type="dxa" w:w="60"/>
              <w:left w:type="dxa" w:w="90"/>
              <w:bottom w:type="dxa" w:w="60"/>
              <w:right w:type="dxa" w:w="90"/>
            </w:tcMar>
          </w:tcPr>
          <w:p>
            <w:r>
              <w:rPr>
                <w:b w:val="false"/>
                <w:bCs w:val="false"/>
                <w:color w:val="000000"/>
                <w:sz w:val="19"/>
                <w:szCs w:val="19"/>
              </w:rPr>
              <w:t xml:space="preserve">Administration hub</w:t>
            </w:r>
          </w:p>
        </w:tc>
        <w:tc>
          <w:tcPr>
            <w:tcW w:type="dxa" w:w="3000"/>
            <w:shd w:fill="F2F6FA" w:val="clear"/>
            <w:tcMar>
              <w:top w:type="dxa" w:w="60"/>
              <w:left w:type="dxa" w:w="90"/>
              <w:bottom w:type="dxa" w:w="60"/>
              <w:right w:type="dxa" w:w="90"/>
            </w:tcMar>
          </w:tcPr>
          <w:p>
            <w:r>
              <w:rPr>
                <w:b w:val="false"/>
                <w:bCs w:val="false"/>
                <w:color w:val="000000"/>
                <w:sz w:val="19"/>
                <w:szCs w:val="19"/>
              </w:rPr>
              <w:t xml:space="preserve">Turn the Administration flag off.</w:t>
            </w:r>
          </w:p>
        </w:tc>
        <w:tc>
          <w:tcPr>
            <w:tcW w:type="dxa" w:w="3300"/>
            <w:shd w:fill="F2F6FA" w:val="clear"/>
            <w:tcMar>
              <w:top w:type="dxa" w:w="60"/>
              <w:left w:type="dxa" w:w="90"/>
              <w:bottom w:type="dxa" w:w="60"/>
              <w:right w:type="dxa" w:w="90"/>
            </w:tcMar>
          </w:tcPr>
          <w:p>
            <w:r>
              <w:rPr>
                <w:b w:val="false"/>
                <w:bCs w:val="false"/>
                <w:color w:val="000000"/>
                <w:sz w:val="19"/>
                <w:szCs w:val="19"/>
              </w:rPr>
              <w:t xml:space="preserve">The hub disappears from navigation and its URL redirects.</w:t>
            </w:r>
          </w:p>
        </w:tc>
      </w:tr>
      <w:tr>
        <w:tc>
          <w:tcPr>
            <w:tcW w:type="dxa" w:w="900"/>
            <w:shd w:fill="FFFFFF" w:val="clear"/>
            <w:tcMar>
              <w:top w:type="dxa" w:w="60"/>
              <w:left w:type="dxa" w:w="90"/>
              <w:bottom w:type="dxa" w:w="60"/>
              <w:right w:type="dxa" w:w="90"/>
            </w:tcMar>
          </w:tcPr>
          <w:p>
            <w:r>
              <w:rPr>
                <w:b w:val="false"/>
                <w:bCs w:val="false"/>
                <w:color w:val="000000"/>
                <w:sz w:val="19"/>
                <w:szCs w:val="19"/>
              </w:rPr>
              <w:t xml:space="preserve">MOD-07</w:t>
            </w:r>
          </w:p>
        </w:tc>
        <w:tc>
          <w:tcPr>
            <w:tcW w:type="dxa" w:w="2500"/>
            <w:shd w:fill="FFFFFF" w:val="clear"/>
            <w:tcMar>
              <w:top w:type="dxa" w:w="60"/>
              <w:left w:type="dxa" w:w="90"/>
              <w:bottom w:type="dxa" w:w="60"/>
              <w:right w:type="dxa" w:w="90"/>
            </w:tcMar>
          </w:tcPr>
          <w:p>
            <w:r>
              <w:rPr>
                <w:b w:val="false"/>
                <w:bCs w:val="false"/>
                <w:color w:val="000000"/>
                <w:sz w:val="19"/>
                <w:szCs w:val="19"/>
              </w:rPr>
              <w:t xml:space="preserve">Settings tiles</w:t>
            </w:r>
          </w:p>
        </w:tc>
        <w:tc>
          <w:tcPr>
            <w:tcW w:type="dxa" w:w="3000"/>
            <w:shd w:fill="FFFFFF" w:val="clear"/>
            <w:tcMar>
              <w:top w:type="dxa" w:w="60"/>
              <w:left w:type="dxa" w:w="90"/>
              <w:bottom w:type="dxa" w:w="60"/>
              <w:right w:type="dxa" w:w="90"/>
            </w:tcMar>
          </w:tcPr>
          <w:p>
            <w:r>
              <w:rPr>
                <w:b w:val="false"/>
                <w:bCs w:val="false"/>
                <w:color w:val="000000"/>
                <w:sz w:val="19"/>
                <w:szCs w:val="19"/>
              </w:rPr>
              <w:t xml:space="preserve">Turn Quotations off and open Settings.</w:t>
            </w:r>
          </w:p>
        </w:tc>
        <w:tc>
          <w:tcPr>
            <w:tcW w:type="dxa" w:w="3300"/>
            <w:shd w:fill="FFFFFF" w:val="clear"/>
            <w:tcMar>
              <w:top w:type="dxa" w:w="60"/>
              <w:left w:type="dxa" w:w="90"/>
              <w:bottom w:type="dxa" w:w="60"/>
              <w:right w:type="dxa" w:w="90"/>
            </w:tcMar>
          </w:tcPr>
          <w:p>
            <w:r>
              <w:rPr>
                <w:b w:val="false"/>
                <w:bCs w:val="false"/>
                <w:color w:val="000000"/>
                <w:sz w:val="19"/>
                <w:szCs w:val="19"/>
              </w:rPr>
              <w:t xml:space="preserve">Sales config, Entities &amp; Tax, Pricing and Text templates are hidden.</w:t>
            </w:r>
          </w:p>
        </w:tc>
      </w:tr>
      <w:tr>
        <w:tc>
          <w:tcPr>
            <w:tcW w:type="dxa" w:w="900"/>
            <w:shd w:fill="F2F6FA" w:val="clear"/>
            <w:tcMar>
              <w:top w:type="dxa" w:w="60"/>
              <w:left w:type="dxa" w:w="90"/>
              <w:bottom w:type="dxa" w:w="60"/>
              <w:right w:type="dxa" w:w="90"/>
            </w:tcMar>
          </w:tcPr>
          <w:p>
            <w:r>
              <w:rPr>
                <w:b w:val="false"/>
                <w:bCs w:val="false"/>
                <w:color w:val="000000"/>
                <w:sz w:val="19"/>
                <w:szCs w:val="19"/>
              </w:rPr>
              <w:t xml:space="preserve">MOD-08</w:t>
            </w:r>
          </w:p>
        </w:tc>
        <w:tc>
          <w:tcPr>
            <w:tcW w:type="dxa" w:w="2500"/>
            <w:shd w:fill="F2F6FA" w:val="clear"/>
            <w:tcMar>
              <w:top w:type="dxa" w:w="60"/>
              <w:left w:type="dxa" w:w="90"/>
              <w:bottom w:type="dxa" w:w="60"/>
              <w:right w:type="dxa" w:w="90"/>
            </w:tcMar>
          </w:tcPr>
          <w:p>
            <w:r>
              <w:rPr>
                <w:b w:val="false"/>
                <w:bCs w:val="false"/>
                <w:color w:val="000000"/>
                <w:sz w:val="19"/>
                <w:szCs w:val="19"/>
              </w:rPr>
              <w:t xml:space="preserve">New tenant defaults</w:t>
            </w:r>
          </w:p>
        </w:tc>
        <w:tc>
          <w:tcPr>
            <w:tcW w:type="dxa" w:w="3000"/>
            <w:shd w:fill="F2F6FA" w:val="clear"/>
            <w:tcMar>
              <w:top w:type="dxa" w:w="60"/>
              <w:left w:type="dxa" w:w="90"/>
              <w:bottom w:type="dxa" w:w="60"/>
              <w:right w:type="dxa" w:w="90"/>
            </w:tcMar>
          </w:tcPr>
          <w:p>
            <w:r>
              <w:rPr>
                <w:b w:val="false"/>
                <w:bCs w:val="false"/>
                <w:color w:val="000000"/>
                <w:sz w:val="19"/>
                <w:szCs w:val="19"/>
              </w:rPr>
              <w:t xml:space="preserve">Create a new tenant, accepting defaults.</w:t>
            </w:r>
          </w:p>
        </w:tc>
        <w:tc>
          <w:tcPr>
            <w:tcW w:type="dxa" w:w="3300"/>
            <w:shd w:fill="F2F6FA" w:val="clear"/>
            <w:tcMar>
              <w:top w:type="dxa" w:w="60"/>
              <w:left w:type="dxa" w:w="90"/>
              <w:bottom w:type="dxa" w:w="60"/>
              <w:right w:type="dxa" w:w="90"/>
            </w:tcMar>
          </w:tcPr>
          <w:p>
            <w:r>
              <w:rPr>
                <w:b w:val="false"/>
                <w:bCs w:val="false"/>
                <w:color w:val="000000"/>
                <w:sz w:val="19"/>
                <w:szCs w:val="19"/>
              </w:rPr>
              <w:t xml:space="preserve">Core modules are on; the workspace is usable immediately.</w:t>
            </w:r>
          </w:p>
        </w:tc>
      </w:tr>
      <w:tr>
        <w:tc>
          <w:tcPr>
            <w:tcW w:type="dxa" w:w="900"/>
            <w:shd w:fill="FFFFFF" w:val="clear"/>
            <w:tcMar>
              <w:top w:type="dxa" w:w="60"/>
              <w:left w:type="dxa" w:w="90"/>
              <w:bottom w:type="dxa" w:w="60"/>
              <w:right w:type="dxa" w:w="90"/>
            </w:tcMar>
          </w:tcPr>
          <w:p>
            <w:r>
              <w:rPr>
                <w:b w:val="false"/>
                <w:bCs w:val="false"/>
                <w:color w:val="000000"/>
                <w:sz w:val="19"/>
                <w:szCs w:val="19"/>
              </w:rPr>
              <w:t xml:space="preserve">MOD-09</w:t>
            </w:r>
          </w:p>
        </w:tc>
        <w:tc>
          <w:tcPr>
            <w:tcW w:type="dxa" w:w="2500"/>
            <w:shd w:fill="FFFFFF" w:val="clear"/>
            <w:tcMar>
              <w:top w:type="dxa" w:w="60"/>
              <w:left w:type="dxa" w:w="90"/>
              <w:bottom w:type="dxa" w:w="60"/>
              <w:right w:type="dxa" w:w="90"/>
            </w:tcMar>
          </w:tcPr>
          <w:p>
            <w:r>
              <w:rPr>
                <w:b w:val="false"/>
                <w:bCs w:val="false"/>
                <w:color w:val="000000"/>
                <w:sz w:val="19"/>
                <w:szCs w:val="19"/>
              </w:rPr>
              <w:t xml:space="preserve">Re-enable</w:t>
            </w:r>
          </w:p>
        </w:tc>
        <w:tc>
          <w:tcPr>
            <w:tcW w:type="dxa" w:w="3000"/>
            <w:shd w:fill="FFFFFF" w:val="clear"/>
            <w:tcMar>
              <w:top w:type="dxa" w:w="60"/>
              <w:left w:type="dxa" w:w="90"/>
              <w:bottom w:type="dxa" w:w="60"/>
              <w:right w:type="dxa" w:w="90"/>
            </w:tcMar>
          </w:tcPr>
          <w:p>
            <w:r>
              <w:rPr>
                <w:b w:val="false"/>
                <w:bCs w:val="false"/>
                <w:color w:val="000000"/>
                <w:sz w:val="19"/>
                <w:szCs w:val="19"/>
              </w:rPr>
              <w:t xml:space="preserve">Turn Quotations back on.</w:t>
            </w:r>
          </w:p>
        </w:tc>
        <w:tc>
          <w:tcPr>
            <w:tcW w:type="dxa" w:w="3300"/>
            <w:shd w:fill="FFFFFF" w:val="clear"/>
            <w:tcMar>
              <w:top w:type="dxa" w:w="60"/>
              <w:left w:type="dxa" w:w="90"/>
              <w:bottom w:type="dxa" w:w="60"/>
              <w:right w:type="dxa" w:w="90"/>
            </w:tcMar>
          </w:tcPr>
          <w:p>
            <w:r>
              <w:rPr>
                <w:b w:val="false"/>
                <w:bCs w:val="false"/>
                <w:color w:val="000000"/>
                <w:sz w:val="19"/>
                <w:szCs w:val="19"/>
              </w:rPr>
              <w:t xml:space="preserve">It reappears with all data intact — flags hide, they never delete.</w:t>
            </w:r>
          </w:p>
        </w:tc>
      </w:tr>
      <w:tr>
        <w:tc>
          <w:tcPr>
            <w:tcW w:type="dxa" w:w="900"/>
            <w:shd w:fill="F2F6FA" w:val="clear"/>
            <w:tcMar>
              <w:top w:type="dxa" w:w="60"/>
              <w:left w:type="dxa" w:w="90"/>
              <w:bottom w:type="dxa" w:w="60"/>
              <w:right w:type="dxa" w:w="90"/>
            </w:tcMar>
          </w:tcPr>
          <w:p>
            <w:r>
              <w:rPr>
                <w:b w:val="false"/>
                <w:bCs w:val="false"/>
                <w:color w:val="000000"/>
                <w:sz w:val="19"/>
                <w:szCs w:val="19"/>
              </w:rPr>
              <w:t xml:space="preserve">MOD-10</w:t>
            </w:r>
          </w:p>
        </w:tc>
        <w:tc>
          <w:tcPr>
            <w:tcW w:type="dxa" w:w="2500"/>
            <w:shd w:fill="F2F6FA" w:val="clear"/>
            <w:tcMar>
              <w:top w:type="dxa" w:w="60"/>
              <w:left w:type="dxa" w:w="90"/>
              <w:bottom w:type="dxa" w:w="60"/>
              <w:right w:type="dxa" w:w="90"/>
            </w:tcMar>
          </w:tcPr>
          <w:p>
            <w:r>
              <w:rPr>
                <w:b w:val="false"/>
                <w:bCs w:val="false"/>
                <w:color w:val="000000"/>
                <w:sz w:val="19"/>
                <w:szCs w:val="19"/>
              </w:rPr>
              <w:t xml:space="preserve">Nav preference layer</w:t>
            </w:r>
          </w:p>
        </w:tc>
        <w:tc>
          <w:tcPr>
            <w:tcW w:type="dxa" w:w="3000"/>
            <w:shd w:fill="F2F6FA" w:val="clear"/>
            <w:tcMar>
              <w:top w:type="dxa" w:w="60"/>
              <w:left w:type="dxa" w:w="90"/>
              <w:bottom w:type="dxa" w:w="60"/>
              <w:right w:type="dxa" w:w="90"/>
            </w:tcMar>
          </w:tcPr>
          <w:p>
            <w:r>
              <w:rPr>
                <w:b w:val="false"/>
                <w:bCs w:val="false"/>
                <w:color w:val="000000"/>
                <w:sz w:val="19"/>
                <w:szCs w:val="19"/>
              </w:rPr>
              <w:t xml:space="preserve">With Quotations on, hide it via Settings → General.</w:t>
            </w:r>
          </w:p>
        </w:tc>
        <w:tc>
          <w:tcPr>
            <w:tcW w:type="dxa" w:w="3300"/>
            <w:shd w:fill="F2F6FA" w:val="clear"/>
            <w:tcMar>
              <w:top w:type="dxa" w:w="60"/>
              <w:left w:type="dxa" w:w="90"/>
              <w:bottom w:type="dxa" w:w="60"/>
              <w:right w:type="dxa" w:w="90"/>
            </w:tcMar>
          </w:tcPr>
          <w:p>
            <w:r>
              <w:rPr>
                <w:b w:val="false"/>
                <w:bCs w:val="false"/>
                <w:color w:val="000000"/>
                <w:sz w:val="19"/>
                <w:szCs w:val="19"/>
              </w:rPr>
              <w:t xml:space="preserve">Hidden for that tenant, but the URL still works — this layer is cosmetic by design.</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4E79"/>
      <w:sz w:val="30"/>
      <w:szCs w:val="30"/>
    </w:rPr>
  </w:style>
  <w:style w:type="paragraph" w:styleId="Heading2">
    <w:name w:val="Heading 2"/>
    <w:basedOn w:val="Normal"/>
    <w:next w:val="Normal"/>
    <w:qFormat/>
    <w:pPr>
      <w:spacing w:after="120" w:before="260"/>
    </w:pPr>
    <w:rPr>
      <w:b/>
      <w:bCs/>
      <w:color w:val="2E75B6"/>
      <w:sz w:val="25"/>
      <w:szCs w:val="25"/>
    </w:rPr>
  </w:style>
  <w:style w:type="paragraph" w:styleId="Heading3">
    <w:name w:val="Heading 3"/>
    <w:basedOn w:val="Normal"/>
    <w:next w:val="Normal"/>
    <w:qFormat/>
    <w:pPr>
      <w:spacing w:after="100" w:before="200"/>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2026-08-06T06:08:32.705Z</dcterms:created>
  <dcterms:modified xsi:type="dcterms:W3CDTF">2026-08-06T06:08:32.705Z</dcterms:modified>
</cp:coreProperties>
</file>

<file path=docProps/custom.xml><?xml version="1.0" encoding="utf-8"?>
<Properties xmlns="http://schemas.openxmlformats.org/officeDocument/2006/custom-properties" xmlns:vt="http://schemas.openxmlformats.org/officeDocument/2006/docPropsVTypes"/>
</file>