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BPMSquare Pricing — Cost-based technique</w:t>
      </w:r>
    </w:p>
    <w:p>
      <w:pPr>
        <w:spacing w:after="240"/>
      </w:pPr>
      <w:r>
        <w:rPr>
          <w:color w:val="555555"/>
          <w:sz w:val="20"/>
          <w:szCs w:val="20"/>
        </w:rPr>
        <w:t xml:space="preserve">Demo walkthrough and validation record · Snapshot 6 September 2026 · production, demo workspace (Al Noor Engineering)</w:t>
      </w:r>
    </w:p>
    <w:p>
      <w:pPr>
        <w:pStyle w:val="Heading1"/>
        <w:spacing w:after="120" w:before="320"/>
      </w:pPr>
      <w:r>
        <w:t xml:space="preserve">1. What this document shows</w:t>
      </w:r>
    </w:p>
    <w:p>
      <w:pPr>
        <w:spacing w:after="120"/>
      </w:pPr>
      <w:r>
        <w:t xml:space="preserve">The cost-based pricing technique was built one step at a time (engine and data, the quote line, setup and demo) and this is the walk through it on the live demo workspace, end to end: from cost rates to a quote that the floor policy refuses to send. Every screenshot below is from production on 6 September. Names and addresses shown are the demo workspace's fictional ones. Four defects were found on the walk and fixed the same day; they are listed in §12.</w:t>
      </w:r>
    </w:p>
    <w:p>
      <w:pPr>
        <w:spacing w:after="120"/>
      </w:pPr>
      <w:r>
        <w:t xml:space="preserve">The story is the one a manufacturer told us: start from what a unit really costs (ERP cost if it is fresh, else a confirmed supplier reply, else a price list, else a hand-kept rate — and never a silent guess), add freight and handling to reach landed cost, add the rep's margin, check the margin floor, then discount and tax. Where nothing answers, the quote line asks the supplier.</w:t>
      </w:r>
    </w:p>
    <w:p>
      <w:pPr>
        <w:spacing w:after="120"/>
      </w:pPr>
      <w:r>
        <w:t xml:space="preserve">Owner decision during the walk: the engine demo runs on Standard Quotes. Quotations are the design partner's own object and were not touched. Standard Quote lines gained a product picker and the same Price with engine flow that day.</w:t>
      </w:r>
    </w:p>
    <w:p>
      <w:pPr>
        <w:pStyle w:val="Heading2"/>
        <w:spacing w:after="100" w:before="240"/>
      </w:pPr>
      <w:r>
        <w:t xml:space="preserve">Outcome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0"/>
            <w:shd w:fill="E8EEF5" w:color="auto" w:val="clear"/>
            <w:tcMar>
              <w:top w:type="dxa" w:w="60"/>
              <w:left w:type="dxa" w:w="100"/>
              <w:bottom w:type="dxa" w:w="60"/>
              <w:right w:type="dxa" w:w="100"/>
            </w:tcMar>
          </w:tcPr>
          <w:p>
            <w:r>
              <w:rPr>
                <w:b/>
                <w:bCs/>
                <w:sz w:val="19"/>
                <w:szCs w:val="19"/>
              </w:rPr>
              <w:t xml:space="preserve">Step</w:t>
            </w:r>
          </w:p>
        </w:tc>
        <w:tc>
          <w:tcPr>
            <w:tcW w:type="dxa" w:w="0"/>
            <w:shd w:fill="E8EEF5" w:color="auto" w:val="clear"/>
            <w:tcMar>
              <w:top w:type="dxa" w:w="60"/>
              <w:left w:type="dxa" w:w="100"/>
              <w:bottom w:type="dxa" w:w="60"/>
              <w:right w:type="dxa" w:w="100"/>
            </w:tcMar>
          </w:tcPr>
          <w:p>
            <w:r>
              <w:rPr>
                <w:b/>
                <w:bCs/>
                <w:sz w:val="19"/>
                <w:szCs w:val="19"/>
              </w:rPr>
              <w:t xml:space="preserve">Result</w:t>
            </w:r>
          </w:p>
        </w:tc>
      </w:tr>
      <w:tr>
        <w:tc>
          <w:tcPr>
            <w:tcW w:type="dxa" w:w="0"/>
            <w:tcMar>
              <w:top w:type="dxa" w:w="60"/>
              <w:left w:type="dxa" w:w="100"/>
              <w:bottom w:type="dxa" w:w="60"/>
              <w:right w:type="dxa" w:w="100"/>
            </w:tcMar>
          </w:tcPr>
          <w:p>
            <w:r>
              <w:rPr>
                <w:b w:val="false"/>
                <w:bCs w:val="false"/>
                <w:sz w:val="19"/>
                <w:szCs w:val="19"/>
              </w:rPr>
              <w:t xml:space="preserve">Cost rates, source ladder, floor policy in Pricing setup</w:t>
            </w:r>
          </w:p>
        </w:tc>
        <w:tc>
          <w:tcPr>
            <w:tcW w:type="dxa" w:w="0"/>
            <w:tcMar>
              <w:top w:type="dxa" w:w="60"/>
              <w:left w:type="dxa" w:w="100"/>
              <w:bottom w:type="dxa" w:w="60"/>
              <w:right w:type="dxa" w:w="100"/>
            </w:tcMar>
          </w:tcPr>
          <w:p>
            <w:r>
              <w:rPr>
                <w:b w:val="false"/>
                <w:bCs w:val="false"/>
                <w:sz w:val="19"/>
                <w:szCs w:val="19"/>
              </w:rPr>
              <w:t xml:space="preserve">Works. Saved labour 450/h, material 850/unit, salvage credit 610/unit; ladder ERP 30d → RFQ 180d → price list 365d → manual; policy Warn.</w:t>
            </w:r>
          </w:p>
        </w:tc>
      </w:tr>
      <w:tr>
        <w:tc>
          <w:tcPr>
            <w:tcW w:type="dxa" w:w="0"/>
            <w:tcMar>
              <w:top w:type="dxa" w:w="60"/>
              <w:left w:type="dxa" w:w="100"/>
              <w:bottom w:type="dxa" w:w="60"/>
              <w:right w:type="dxa" w:w="100"/>
            </w:tcMar>
          </w:tcPr>
          <w:p>
            <w:r>
              <w:rPr>
                <w:b w:val="false"/>
                <w:bCs w:val="false"/>
                <w:sz w:val="19"/>
                <w:szCs w:val="19"/>
              </w:rPr>
              <w:t xml:space="preserve">Sample bill</w:t>
            </w:r>
          </w:p>
        </w:tc>
        <w:tc>
          <w:tcPr>
            <w:tcW w:type="dxa" w:w="0"/>
            <w:tcMar>
              <w:top w:type="dxa" w:w="60"/>
              <w:left w:type="dxa" w:w="100"/>
              <w:bottom w:type="dxa" w:w="60"/>
              <w:right w:type="dxa" w:w="100"/>
            </w:tcMar>
          </w:tcPr>
          <w:p>
            <w:r>
              <w:rPr>
                <w:b w:val="false"/>
                <w:bCs w:val="false"/>
                <w:sz w:val="19"/>
                <w:szCs w:val="19"/>
              </w:rPr>
              <w:t xml:space="preserve">Works. 690 total cost → 724.50 landed (4% freight, 1% handling) → 25% margin → 18% tax = 1,068.63. Margin 25% shown against the 15% floor.</w:t>
            </w:r>
          </w:p>
        </w:tc>
      </w:tr>
      <w:tr>
        <w:tc>
          <w:tcPr>
            <w:tcW w:type="dxa" w:w="0"/>
            <w:tcMar>
              <w:top w:type="dxa" w:w="60"/>
              <w:left w:type="dxa" w:w="100"/>
              <w:bottom w:type="dxa" w:w="60"/>
              <w:right w:type="dxa" w:w="100"/>
            </w:tcMar>
          </w:tcPr>
          <w:p>
            <w:r>
              <w:rPr>
                <w:b w:val="false"/>
                <w:bCs w:val="false"/>
                <w:sz w:val="19"/>
                <w:szCs w:val="19"/>
              </w:rPr>
              <w:t xml:space="preserve">Go live → Today's rates</w:t>
            </w:r>
          </w:p>
        </w:tc>
        <w:tc>
          <w:tcPr>
            <w:tcW w:type="dxa" w:w="0"/>
            <w:tcMar>
              <w:top w:type="dxa" w:w="60"/>
              <w:left w:type="dxa" w:w="100"/>
              <w:bottom w:type="dxa" w:w="60"/>
              <w:right w:type="dxa" w:w="100"/>
            </w:tcMar>
          </w:tcPr>
          <w:p>
            <w:r>
              <w:rPr>
                <w:b w:val="false"/>
                <w:bCs w:val="false"/>
                <w:sz w:val="19"/>
                <w:szCs w:val="19"/>
              </w:rPr>
              <w:t xml:space="preserve">Works. Version published, plain-language summary shows the rates.</w:t>
            </w:r>
          </w:p>
        </w:tc>
      </w:tr>
      <w:tr>
        <w:tc>
          <w:tcPr>
            <w:tcW w:type="dxa" w:w="0"/>
            <w:tcMar>
              <w:top w:type="dxa" w:w="60"/>
              <w:left w:type="dxa" w:w="100"/>
              <w:bottom w:type="dxa" w:w="60"/>
              <w:right w:type="dxa" w:w="100"/>
            </w:tcMar>
          </w:tcPr>
          <w:p>
            <w:r>
              <w:rPr>
                <w:b w:val="false"/>
                <w:bCs w:val="false"/>
                <w:sz w:val="19"/>
                <w:szCs w:val="19"/>
              </w:rPr>
              <w:t xml:space="preserve">Product cost sheet (PRD-0007)</w:t>
            </w:r>
          </w:p>
        </w:tc>
        <w:tc>
          <w:tcPr>
            <w:tcW w:type="dxa" w:w="0"/>
            <w:tcMar>
              <w:top w:type="dxa" w:w="60"/>
              <w:left w:type="dxa" w:w="100"/>
              <w:bottom w:type="dxa" w:w="60"/>
              <w:right w:type="dxa" w:w="100"/>
            </w:tcMar>
          </w:tcPr>
          <w:p>
            <w:r>
              <w:rPr>
                <w:b w:val="false"/>
                <w:bCs w:val="false"/>
                <w:sz w:val="19"/>
                <w:szCs w:val="19"/>
              </w:rPr>
              <w:t xml:space="preserve">Works. 18 material, 12 labour hours, 6 salvage; cost price as of 5 Sep, 1 day old.</w:t>
            </w:r>
          </w:p>
        </w:tc>
      </w:tr>
      <w:tr>
        <w:tc>
          <w:tcPr>
            <w:tcW w:type="dxa" w:w="0"/>
            <w:tcMar>
              <w:top w:type="dxa" w:w="60"/>
              <w:left w:type="dxa" w:w="100"/>
              <w:bottom w:type="dxa" w:w="60"/>
              <w:right w:type="dxa" w:w="100"/>
            </w:tcMar>
          </w:tcPr>
          <w:p>
            <w:r>
              <w:rPr>
                <w:b w:val="false"/>
                <w:bCs w:val="false"/>
                <w:sz w:val="19"/>
                <w:szCs w:val="19"/>
              </w:rPr>
              <w:t xml:space="preserve">Standard Quote line 1, PRD-0007 (made part)</w:t>
            </w:r>
          </w:p>
        </w:tc>
        <w:tc>
          <w:tcPr>
            <w:tcW w:type="dxa" w:w="0"/>
            <w:tcMar>
              <w:top w:type="dxa" w:w="60"/>
              <w:left w:type="dxa" w:w="100"/>
              <w:bottom w:type="dxa" w:w="60"/>
              <w:right w:type="dxa" w:w="100"/>
            </w:tcMar>
          </w:tcPr>
          <w:p>
            <w:r>
              <w:rPr>
                <w:b w:val="false"/>
                <w:bCs w:val="false"/>
                <w:sz w:val="19"/>
                <w:szCs w:val="19"/>
              </w:rPr>
              <w:t xml:space="preserve">Works. Priced 26,390.70 with the full why trace.</w:t>
            </w:r>
          </w:p>
        </w:tc>
      </w:tr>
      <w:tr>
        <w:tc>
          <w:tcPr>
            <w:tcW w:type="dxa" w:w="0"/>
            <w:tcMar>
              <w:top w:type="dxa" w:w="60"/>
              <w:left w:type="dxa" w:w="100"/>
              <w:bottom w:type="dxa" w:w="60"/>
              <w:right w:type="dxa" w:w="100"/>
            </w:tcMar>
          </w:tcPr>
          <w:p>
            <w:r>
              <w:rPr>
                <w:b w:val="false"/>
                <w:bCs w:val="false"/>
                <w:sz w:val="19"/>
                <w:szCs w:val="19"/>
              </w:rPr>
              <w:t xml:space="preserve">Line 2, PRD-0008 (bought-in, ERP cost 3 days old)</w:t>
            </w:r>
          </w:p>
        </w:tc>
        <w:tc>
          <w:tcPr>
            <w:tcW w:type="dxa" w:w="0"/>
            <w:tcMar>
              <w:top w:type="dxa" w:w="60"/>
              <w:left w:type="dxa" w:w="100"/>
              <w:bottom w:type="dxa" w:w="60"/>
              <w:right w:type="dxa" w:w="100"/>
            </w:tcMar>
          </w:tcPr>
          <w:p>
            <w:r>
              <w:rPr>
                <w:b w:val="false"/>
                <w:bCs w:val="false"/>
                <w:sz w:val="19"/>
                <w:szCs w:val="19"/>
              </w:rPr>
              <w:t xml:space="preserve">Works. Priced from the fresh ERP cost: 265,000 → 410,418.75.</w:t>
            </w:r>
          </w:p>
        </w:tc>
      </w:tr>
      <w:tr>
        <w:tc>
          <w:tcPr>
            <w:tcW w:type="dxa" w:w="0"/>
            <w:tcMar>
              <w:top w:type="dxa" w:w="60"/>
              <w:left w:type="dxa" w:w="100"/>
              <w:bottom w:type="dxa" w:w="60"/>
              <w:right w:type="dxa" w:w="100"/>
            </w:tcMar>
          </w:tcPr>
          <w:p>
            <w:r>
              <w:rPr>
                <w:b w:val="false"/>
                <w:bCs w:val="false"/>
                <w:sz w:val="19"/>
                <w:szCs w:val="19"/>
              </w:rPr>
              <w:t xml:space="preserve">Line 3, PRD-0009 (bought-in, ERP cost 95 days old)</w:t>
            </w:r>
          </w:p>
        </w:tc>
        <w:tc>
          <w:tcPr>
            <w:tcW w:type="dxa" w:w="0"/>
            <w:tcMar>
              <w:top w:type="dxa" w:w="60"/>
              <w:left w:type="dxa" w:w="100"/>
              <w:bottom w:type="dxa" w:w="60"/>
              <w:right w:type="dxa" w:w="100"/>
            </w:tcMar>
          </w:tcPr>
          <w:p>
            <w:r>
              <w:rPr>
                <w:b w:val="false"/>
                <w:bCs w:val="false"/>
                <w:sz w:val="19"/>
                <w:szCs w:val="19"/>
              </w:rPr>
              <w:t xml:space="preserve">Works. Engine refused to invent a cost: NEEDS RFQ, shows what it tried (PRODUCT_COST 95 days old, limit 30).</w:t>
            </w:r>
          </w:p>
        </w:tc>
      </w:tr>
      <w:tr>
        <w:tc>
          <w:tcPr>
            <w:tcW w:type="dxa" w:w="0"/>
            <w:tcMar>
              <w:top w:type="dxa" w:w="60"/>
              <w:left w:type="dxa" w:w="100"/>
              <w:bottom w:type="dxa" w:w="60"/>
              <w:right w:type="dxa" w:w="100"/>
            </w:tcMar>
          </w:tcPr>
          <w:p>
            <w:r>
              <w:rPr>
                <w:b w:val="false"/>
                <w:bCs w:val="false"/>
                <w:sz w:val="19"/>
                <w:szCs w:val="19"/>
              </w:rPr>
              <w:t xml:space="preserve">Send RFQ from the line</w:t>
            </w:r>
          </w:p>
        </w:tc>
        <w:tc>
          <w:tcPr>
            <w:tcW w:type="dxa" w:w="0"/>
            <w:tcMar>
              <w:top w:type="dxa" w:w="60"/>
              <w:left w:type="dxa" w:w="100"/>
              <w:bottom w:type="dxa" w:w="60"/>
              <w:right w:type="dxa" w:w="100"/>
            </w:tcMar>
          </w:tcPr>
          <w:p>
            <w:r>
              <w:rPr>
                <w:b w:val="false"/>
                <w:bCs w:val="false"/>
                <w:sz w:val="19"/>
                <w:szCs w:val="19"/>
              </w:rPr>
              <w:t xml:space="preserve">Works. RFQ-0001 to Meridian Door Systems, redirected to the internal inbox (demo safeguard).</w:t>
            </w:r>
          </w:p>
        </w:tc>
      </w:tr>
      <w:tr>
        <w:tc>
          <w:tcPr>
            <w:tcW w:type="dxa" w:w="0"/>
            <w:tcMar>
              <w:top w:type="dxa" w:w="60"/>
              <w:left w:type="dxa" w:w="100"/>
              <w:bottom w:type="dxa" w:w="60"/>
              <w:right w:type="dxa" w:w="100"/>
            </w:tcMar>
          </w:tcPr>
          <w:p>
            <w:r>
              <w:rPr>
                <w:b w:val="false"/>
                <w:bCs w:val="false"/>
                <w:sz w:val="19"/>
                <w:szCs w:val="19"/>
              </w:rPr>
              <w:t xml:space="preserve">Save the quote</w:t>
            </w:r>
          </w:p>
        </w:tc>
        <w:tc>
          <w:tcPr>
            <w:tcW w:type="dxa" w:w="0"/>
            <w:tcMar>
              <w:top w:type="dxa" w:w="60"/>
              <w:left w:type="dxa" w:w="100"/>
              <w:bottom w:type="dxa" w:w="60"/>
              <w:right w:type="dxa" w:w="100"/>
            </w:tcMar>
          </w:tcPr>
          <w:p>
            <w:r>
              <w:rPr>
                <w:b w:val="false"/>
                <w:bCs w:val="false"/>
                <w:sz w:val="19"/>
                <w:szCs w:val="19"/>
              </w:rPr>
              <w:t xml:space="preserve">Works. SQ-2026-0002 with the three lines; after 0114 the product link and the pricing document survive the save.</w:t>
            </w:r>
          </w:p>
        </w:tc>
      </w:tr>
      <w:tr>
        <w:tc>
          <w:tcPr>
            <w:tcW w:type="dxa" w:w="0"/>
            <w:tcMar>
              <w:top w:type="dxa" w:w="60"/>
              <w:left w:type="dxa" w:w="100"/>
              <w:bottom w:type="dxa" w:w="60"/>
              <w:right w:type="dxa" w:w="100"/>
            </w:tcMar>
          </w:tcPr>
          <w:p>
            <w:r>
              <w:rPr>
                <w:b w:val="false"/>
                <w:bCs w:val="false"/>
                <w:sz w:val="19"/>
                <w:szCs w:val="19"/>
              </w:rPr>
              <w:t xml:space="preserve">Enter the supplier's reply</w:t>
            </w:r>
          </w:p>
        </w:tc>
        <w:tc>
          <w:tcPr>
            <w:tcW w:type="dxa" w:w="0"/>
            <w:tcMar>
              <w:top w:type="dxa" w:w="60"/>
              <w:left w:type="dxa" w:w="100"/>
              <w:bottom w:type="dxa" w:w="60"/>
              <w:right w:type="dxa" w:w="100"/>
            </w:tcMar>
          </w:tcPr>
          <w:p>
            <w:r>
              <w:rPr>
                <w:b w:val="false"/>
                <w:bCs w:val="false"/>
                <w:sz w:val="19"/>
                <w:szCs w:val="19"/>
              </w:rPr>
              <w:t xml:space="preserve">Works after migration 0115 (first attempt failed on a database check — fixed the same day).</w:t>
            </w:r>
          </w:p>
        </w:tc>
      </w:tr>
      <w:tr>
        <w:tc>
          <w:tcPr>
            <w:tcW w:type="dxa" w:w="0"/>
            <w:tcMar>
              <w:top w:type="dxa" w:w="60"/>
              <w:left w:type="dxa" w:w="100"/>
              <w:bottom w:type="dxa" w:w="60"/>
              <w:right w:type="dxa" w:w="100"/>
            </w:tcMar>
          </w:tcPr>
          <w:p>
            <w:r>
              <w:rPr>
                <w:b w:val="false"/>
                <w:bCs w:val="false"/>
                <w:sz w:val="19"/>
                <w:szCs w:val="19"/>
              </w:rPr>
              <w:t xml:space="preserve">Re-price line 3 from the RFQ reply</w:t>
            </w:r>
          </w:p>
        </w:tc>
        <w:tc>
          <w:tcPr>
            <w:tcW w:type="dxa" w:w="0"/>
            <w:tcMar>
              <w:top w:type="dxa" w:w="60"/>
              <w:left w:type="dxa" w:w="100"/>
              <w:bottom w:type="dxa" w:w="60"/>
              <w:right w:type="dxa" w:w="100"/>
            </w:tcMar>
          </w:tcPr>
          <w:p>
            <w:r>
              <w:rPr>
                <w:b w:val="false"/>
                <w:bCs w:val="false"/>
                <w:sz w:val="19"/>
                <w:szCs w:val="19"/>
              </w:rPr>
              <w:t xml:space="preserve">Works after a second fix: the engine dated the call by the server's UTC day, so a reply valid from today was 'not yet in force' before 05:30 IST. Now 92,500 → 143,259.38, the why trace names the source.</w:t>
            </w:r>
          </w:p>
        </w:tc>
      </w:tr>
      <w:tr>
        <w:tc>
          <w:tcPr>
            <w:tcW w:type="dxa" w:w="0"/>
            <w:tcMar>
              <w:top w:type="dxa" w:w="60"/>
              <w:left w:type="dxa" w:w="100"/>
              <w:bottom w:type="dxa" w:w="60"/>
              <w:right w:type="dxa" w:w="100"/>
            </w:tcMar>
          </w:tcPr>
          <w:p>
            <w:r>
              <w:rPr>
                <w:b w:val="false"/>
                <w:bCs w:val="false"/>
                <w:sz w:val="19"/>
                <w:szCs w:val="19"/>
              </w:rPr>
              <w:t xml:space="preserve">Margin rule for a region, floor policy Block, go live as v2</w:t>
            </w:r>
          </w:p>
        </w:tc>
        <w:tc>
          <w:tcPr>
            <w:tcW w:type="dxa" w:w="0"/>
            <w:tcMar>
              <w:top w:type="dxa" w:w="60"/>
              <w:left w:type="dxa" w:w="100"/>
              <w:bottom w:type="dxa" w:w="60"/>
              <w:right w:type="dxa" w:w="100"/>
            </w:tcMar>
          </w:tcPr>
          <w:p>
            <w:r>
              <w:rPr>
                <w:b w:val="false"/>
                <w:bCs w:val="false"/>
                <w:sz w:val="19"/>
                <w:szCs w:val="19"/>
              </w:rPr>
              <w:t xml:space="preserve">Works. Region Karnataka → 10% margin; Today's rates shows both rules.</w:t>
            </w:r>
          </w:p>
        </w:tc>
      </w:tr>
      <w:tr>
        <w:tc>
          <w:tcPr>
            <w:tcW w:type="dxa" w:w="0"/>
            <w:tcMar>
              <w:top w:type="dxa" w:w="60"/>
              <w:left w:type="dxa" w:w="100"/>
              <w:bottom w:type="dxa" w:w="60"/>
              <w:right w:type="dxa" w:w="100"/>
            </w:tcMar>
          </w:tcPr>
          <w:p>
            <w:r>
              <w:rPr>
                <w:b w:val="false"/>
                <w:bCs w:val="false"/>
                <w:sz w:val="19"/>
                <w:szCs w:val="19"/>
              </w:rPr>
              <w:t xml:space="preserve">Re-price under v2: floor flag on the line</w:t>
            </w:r>
          </w:p>
        </w:tc>
        <w:tc>
          <w:tcPr>
            <w:tcW w:type="dxa" w:w="0"/>
            <w:tcMar>
              <w:top w:type="dxa" w:w="60"/>
              <w:left w:type="dxa" w:w="100"/>
              <w:bottom w:type="dxa" w:w="60"/>
              <w:right w:type="dxa" w:w="100"/>
            </w:tcMar>
          </w:tcPr>
          <w:p>
            <w:r>
              <w:rPr>
                <w:b w:val="false"/>
                <w:bCs w:val="false"/>
                <w:sz w:val="19"/>
                <w:szCs w:val="19"/>
              </w:rPr>
              <w:t xml:space="preserve">Works. "Margin 10% is below the 15% floor — this quote can't be sent until approved" on all three lines.</w:t>
            </w:r>
          </w:p>
        </w:tc>
      </w:tr>
      <w:tr>
        <w:tc>
          <w:tcPr>
            <w:tcW w:type="dxa" w:w="0"/>
            <w:tcMar>
              <w:top w:type="dxa" w:w="60"/>
              <w:left w:type="dxa" w:w="100"/>
              <w:bottom w:type="dxa" w:w="60"/>
              <w:right w:type="dxa" w:w="100"/>
            </w:tcMar>
          </w:tcPr>
          <w:p>
            <w:r>
              <w:rPr>
                <w:b w:val="false"/>
                <w:bCs w:val="false"/>
                <w:sz w:val="19"/>
                <w:szCs w:val="19"/>
              </w:rPr>
              <w:t xml:space="preserve">Detail page and the send gate</w:t>
            </w:r>
          </w:p>
        </w:tc>
        <w:tc>
          <w:tcPr>
            <w:tcW w:type="dxa" w:w="0"/>
            <w:tcMar>
              <w:top w:type="dxa" w:w="60"/>
              <w:left w:type="dxa" w:w="100"/>
              <w:bottom w:type="dxa" w:w="60"/>
              <w:right w:type="dxa" w:w="100"/>
            </w:tcMar>
          </w:tcPr>
          <w:p>
            <w:r>
              <w:rPr>
                <w:b w:val="false"/>
                <w:bCs w:val="false"/>
                <w:sz w:val="19"/>
                <w:szCs w:val="19"/>
              </w:rPr>
              <w:t xml:space="preserve">Works. Flags shown per line; Email to customer refuses and names each line.</w:t>
            </w:r>
          </w:p>
        </w:tc>
      </w:tr>
      <w:tr>
        <w:tc>
          <w:tcPr>
            <w:tcW w:type="dxa" w:w="0"/>
            <w:tcMar>
              <w:top w:type="dxa" w:w="60"/>
              <w:left w:type="dxa" w:w="100"/>
              <w:bottom w:type="dxa" w:w="60"/>
              <w:right w:type="dxa" w:w="100"/>
            </w:tcMar>
          </w:tcPr>
          <w:p>
            <w:r>
              <w:rPr>
                <w:b w:val="false"/>
                <w:bCs w:val="false"/>
                <w:sz w:val="19"/>
                <w:szCs w:val="19"/>
              </w:rPr>
              <w:t xml:space="preserve">Advanced → Test &amp; Trace</w:t>
            </w:r>
          </w:p>
        </w:tc>
        <w:tc>
          <w:tcPr>
            <w:tcW w:type="dxa" w:w="0"/>
            <w:tcMar>
              <w:top w:type="dxa" w:w="60"/>
              <w:left w:type="dxa" w:w="100"/>
              <w:bottom w:type="dxa" w:w="60"/>
              <w:right w:type="dxa" w:w="100"/>
            </w:tcMar>
          </w:tcPr>
          <w:p>
            <w:r>
              <w:rPr>
                <w:b w:val="false"/>
                <w:bCs w:val="false"/>
                <w:sz w:val="19"/>
                <w:szCs w:val="19"/>
              </w:rPr>
              <w:t xml:space="preserve">Works. Every priced document is kept with its version and pricing date, loadable and replayable.</w:t>
            </w:r>
          </w:p>
        </w:tc>
      </w:tr>
    </w:tbl>
    <w:p>
      <w:pPr>
        <w:pStyle w:val="Heading1"/>
        <w:spacing w:after="120" w:before="320"/>
      </w:pPr>
      <w:r>
        <w:t xml:space="preserve">2. Pricing setup — the numbers</w:t>
      </w:r>
    </w:p>
    <w:p>
      <w:pPr>
        <w:spacing w:after="120"/>
      </w:pPr>
      <w:r>
        <w:t xml:space="preserve">Pricing → Pricing setup → Cost-based. The step now has three new blocks above the rate tables: your cost rates (what one unit of each input costs today), where a cost comes from (the source ladder with freshness limits), and what happens when a line falls below the minimum margin.</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Your cost rates and the start of the source ladder</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The ladder in full and the floor policy (Warn the rep, let the quote go out)</w:t>
      </w:r>
    </w:p>
    <w:p>
      <w:pPr>
        <w:spacing w:after="120"/>
      </w:pPr>
      <w:r>
        <w:t xml:space="preserve">Freight was set to 4%, handling to 1%, margin 25%, minimum acceptable margin 15%, tax 18%.</w:t>
      </w:r>
    </w:p>
    <w:p>
      <w:pPr>
        <w:pStyle w:val="Heading1"/>
        <w:spacing w:after="120" w:before="320"/>
      </w:pPr>
      <w:r>
        <w:t xml:space="preserve">3. Sample bill</w:t>
      </w:r>
    </w:p>
    <w:p>
      <w:pPr>
        <w:spacing w:after="120"/>
      </w:pPr>
      <w:r>
        <w:t xml:space="preserve">Continue to sample bill prices one unit of a sample product through the live engine with the numbers just entered. The banner reads the engine's own margin flag.</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Margin on this bill 25%, at or above the 15% minimum</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Total cost 690 → landed 724.50 → net 905.63 → tax → 1,068.63</w:t>
      </w:r>
    </w:p>
    <w:p>
      <w:pPr>
        <w:pStyle w:val="Heading1"/>
        <w:spacing w:after="120" w:before="320"/>
      </w:pPr>
      <w:r>
        <w:t xml:space="preserve">4. Go live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Today's rates after publishing: cost-based, live since 6 September 2026</w:t>
      </w:r>
    </w:p>
    <w:p>
      <w:pPr>
        <w:pStyle w:val="Heading1"/>
        <w:spacing w:after="120" w:before="320"/>
      </w:pPr>
      <w:r>
        <w:t xml:space="preserve">5. Product cost sheet</w:t>
      </w:r>
    </w:p>
    <w:p>
      <w:pPr>
        <w:spacing w:after="120"/>
      </w:pPr>
      <w:r>
        <w:t xml:space="preserve">A product carries what one unit consumes. PRD-0007 Motor Rewinding 45 kW: 18 units of material, 12 labour hours, 6 units of salvage credit, with the ERP cost price dated 5 September. A product with no sheet is one bought-in part at its cost price.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PRD-0007 with cost price and cost price as-of</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The cost sheet card, one day old</w:t>
      </w:r>
    </w:p>
    <w:p>
      <w:pPr>
        <w:pStyle w:val="Heading1"/>
        <w:spacing w:after="120" w:before="320"/>
      </w:pPr>
      <w:r>
        <w:t xml:space="preserve">6. The Standard Quote</w:t>
      </w:r>
    </w:p>
    <w:p>
      <w:pPr>
        <w:spacing w:after="120"/>
      </w:pPr>
      <w:r>
        <w:t xml:space="preserve">Sales → Standard Quotes → New, account Demo Motor Company. Each line can name a product; picking one fills the description, unit and list price without overwriting what the rep typed. Price with engine asks the engine for the line and shows the answer under the product.</w:t>
      </w:r>
    </w:p>
    <w:p>
      <w:pPr>
        <w:pStyle w:val="Heading2"/>
        <w:spacing w:after="100" w:before="240"/>
      </w:pPr>
      <w:r>
        <w:t xml:space="preserve">Line 1 — PRD-0007, a made part</w:t>
      </w:r>
    </w:p>
    <w:p>
      <w:pPr>
        <w:spacing w:after="120"/>
      </w:pPr>
      <w:r>
        <w:t xml:space="preserve">Material 18 × 850 = 15,300, labour 12 × 450 = 5,400, salvage 6 × 610 = −3,660 → total cost 17,040 → landed 17,892 → margin 4,473 → net 22,365 → tax 4,025.70 → 26,390.70.</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The why trace, opened from the chip under the product</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The rate landed on the line: 26,390.70</w:t>
      </w:r>
    </w:p>
    <w:p>
      <w:pPr>
        <w:pStyle w:val="Heading2"/>
        <w:spacing w:after="100" w:before="240"/>
      </w:pPr>
      <w:r>
        <w:t xml:space="preserve">Line 2 — PRD-0008, bought-in with a fresh ERP cost</w:t>
      </w:r>
    </w:p>
    <w:p>
      <w:pPr>
        <w:spacing w:after="120"/>
      </w:pPr>
      <w:r>
        <w:t xml:space="preserve">The ladder's first rung answered: ERP cost 265,000, three days old, inside the 30-day limit. Landed 278,250, net 347,812.50, final 410,418.75.</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PURCHASE_COST from the product's own ERP figure</w:t>
      </w:r>
    </w:p>
    <w:p>
      <w:pPr>
        <w:pStyle w:val="Heading2"/>
        <w:spacing w:after="100" w:before="240"/>
      </w:pPr>
      <w:r>
        <w:t xml:space="preserve">Line 3 — PRD-0009, bought-in with a stale ERP cost</w:t>
      </w:r>
    </w:p>
    <w:p>
      <w:pPr>
        <w:spacing w:after="120"/>
      </w:pPr>
      <w:r>
        <w:t xml:space="preserve">The ERP cost is 95 days old, the limit is 30, and no RFQ reply or price list exists, so the engine refused to price it. The line shows what was tried and offers to ask the supplier.</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NEEDS RFQ with the ladder's verdict</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Send RFQ: supplier and a message, inline on the line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RFQ-0001 sent; the demo workspace redirects it to the internal inbox</w:t>
      </w:r>
    </w:p>
    <w:p>
      <w:pPr>
        <w:pStyle w:val="Heading2"/>
        <w:spacing w:after="100" w:before="240"/>
      </w:pPr>
      <w:r>
        <w:t xml:space="preserve">Saved</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SQ-2026-0002 with the three lines</w:t>
      </w:r>
    </w:p>
    <w:p>
      <w:pPr>
        <w:pStyle w:val="Heading1"/>
        <w:spacing w:after="120" w:before="320"/>
      </w:pPr>
      <w:r>
        <w:t xml:space="preserve">7. The supplier replies — Pricing → RFQs</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RFQ-0001 waiting for a reply</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Entering the reply: 92,500 valid 6 Sep to 31 Dec, lead time note</w:t>
      </w:r>
    </w:p>
    <w:p>
      <w:pPr>
        <w:spacing w:after="120"/>
      </w:pPr>
      <w:r>
        <w:t xml:space="preserve">Saving the reply first failed on production with a database check constraint (below). The cause was a migration gap, not the engine: the PURCHASE cost kind was added to the engine in 0113 but the table's allowed kinds were never widened. Migration 0115 fixed it the same day.</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The error as first seen, before 0115</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After 0115: the reply is on file as a confirmed cost, 92,500 per unit, valid to 31 December</w:t>
      </w:r>
    </w:p>
    <w:p>
      <w:pPr>
        <w:pStyle w:val="Heading1"/>
        <w:spacing w:after="120" w:before="320"/>
      </w:pPr>
      <w:r>
        <w:t xml:space="preserve">8. Price line 3 again — the reply is used</w:t>
      </w:r>
    </w:p>
    <w:p>
      <w:pPr>
        <w:spacing w:after="120"/>
      </w:pPr>
      <w:r>
        <w:t xml:space="preserve">Back on SQ-2026-0002 → Edit, Price with engine on line 3. The ladder's first rung (ERP cost, 95 days old) is still skipped; the second rung now answers. Purchase cost 92,500 → landed 97,125 → 25% margin → 121,406.25 → tax → 143,259.38.</w:t>
      </w:r>
    </w:p>
    <w:p>
      <w:pPr>
        <w:spacing w:after="120"/>
      </w:pPr>
      <w:r>
        <w:t xml:space="preserve">This step surfaced a second defect. On the first attempt the engine still reported NEEDS RFQ and listed the reply as "valid 2026-09-06 → 2026-12-31" among the sources it had tried and rejected. The walk was running at two in the morning India time, when the server's UTC date is still the day before, and the engine dated the call by the server's day. A reply valid from today was therefore "not yet in force" until 05:30 IST. Fixed the same day: the engine and the RFQ reply now use the workspace's own calendar date (the same timezone the attendance module keeps, Asia/Kolkata by default). The Test &amp; Trace record in §11 shows the pricing date flipping from 5 to 6 September across the fix.</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Line 3 priced from the supplier's reply: 143,259.38</w:t>
      </w:r>
    </w:p>
    <w:p>
      <w:pPr>
        <w:pStyle w:val="Heading1"/>
        <w:spacing w:after="120" w:before="320"/>
      </w:pPr>
      <w:r>
        <w:t xml:space="preserve">9. Margin rule for a region, floor policy Block, go live</w:t>
      </w:r>
    </w:p>
    <w:p>
      <w:pPr>
        <w:spacing w:after="120"/>
      </w:pPr>
      <w:r>
        <w:t xml:space="preserve">To exercise the floor, Pricing setup got a second Margin rule — when Region is Karnataka, 10% instead of 25% (Demo Motor Company is in Karnataka) — and the floor policy was switched from Warn to Block. Continue to sample bill, then Go live publishes version 2; version 1 is superseded and stays replayable.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Margin: everyone else 25%, when Region is Karnataka 10%</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Floor policy: block sending until it is re-priced or approved</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Today's rates after going live: both margin rules in plain language</w:t>
      </w:r>
    </w:p>
    <w:p>
      <w:pPr>
        <w:pStyle w:val="Heading1"/>
        <w:spacing w:after="120" w:before="320"/>
      </w:pPr>
      <w:r>
        <w:t xml:space="preserve">10. The floor flag and the send gate</w:t>
      </w:r>
    </w:p>
    <w:p>
      <w:pPr>
        <w:spacing w:after="120"/>
      </w:pPr>
      <w:r>
        <w:t xml:space="preserve">Price with engine on all three lines under version 2. The why trace now also says where each cost figure came from — the rate kept by hand for material, labour and salvage on line 1; the supplier RFQ reply, confirmed, on line 3 — in the same words the setup screen uses. Margin is 10% against a 15% floor, so every line carries the block flag.</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Line 1 under v2: the Karnataka margin rule, the floor flag, and the cost sources in the trace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Line 3: purchase cost from the supplier RFQ reply, confirmed</w:t>
      </w:r>
    </w:p>
    <w:p>
      <w:pPr>
        <w:spacing w:after="120"/>
      </w:pPr>
      <w:r>
        <w:t xml:space="preserve">Saved, the detail page shows the flag on each line. Email to customer refuses and names every line that is below the floor; the quote waits until it is re-priced or approved (approvals are batch 3).</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SQ-2026-0002 with the flags under each line</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Email to customer refused: each line named with its margin and the floor</w:t>
      </w:r>
    </w:p>
    <w:p>
      <w:pPr>
        <w:pStyle w:val="Heading1"/>
        <w:spacing w:after="120" w:before="320"/>
      </w:pPr>
      <w:r>
        <w:t xml:space="preserve">11. Advanced → Test &amp; Trace</w:t>
      </w:r>
    </w:p>
    <w:p>
      <w:pPr>
        <w:spacing w:after="120"/>
      </w:pPr>
      <w:r>
        <w:t xml:space="preserve">Every price the engine produced during the walk is kept as a document with its version, pricing date and net, and can be loaded back into the tester or replayed against any version. The pricing date column shows 5 September on the early documents and 6 September after the timezone fix.</w:t>
      </w:r>
    </w:p>
    <w:p>
      <w:pPr>
        <w:spacing w:after="60" w:before="120"/>
        <w:jc w:val="center"/>
      </w:pPr>
      <w:r>
        <w:drawing>
          <wp:inline distT="0" distB="0" distL="0" distR="0">
            <wp:extent cx="5715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209800"/>
                    </a:xfrm>
                    <a:prstGeom prst="rect">
                      <a:avLst/>
                    </a:prstGeom>
                  </pic:spPr>
                </pic:pic>
              </a:graphicData>
            </a:graphic>
          </wp:inline>
        </w:drawing>
      </w:r>
    </w:p>
    <w:p>
      <w:pPr>
        <w:spacing w:after="200"/>
        <w:jc w:val="center"/>
      </w:pPr>
      <w:r>
        <w:rPr>
          <w:i/>
          <w:iCs/>
          <w:color w:val="555555"/>
          <w:sz w:val="18"/>
          <w:szCs w:val="18"/>
        </w:rPr>
        <w:t xml:space="preserve">Recent priced documents: version, pricing date, net, load and replay</w:t>
      </w:r>
    </w:p>
    <w:p>
      <w:pPr>
        <w:pStyle w:val="Heading1"/>
        <w:spacing w:after="120" w:before="320"/>
      </w:pPr>
      <w:r>
        <w:t xml:space="preserve">12. Findings and what is left</w:t>
      </w:r>
    </w:p>
    <w:p>
      <w:pPr>
        <w:pStyle w:val="Heading2"/>
        <w:spacing w:after="100" w:before="240"/>
      </w:pPr>
      <w:r>
        <w:t xml:space="preserve">Found on this walk and fixed the same day</w:t>
      </w:r>
    </w:p>
    <w:p>
      <w:pPr>
        <w:pStyle w:val="ListParagraph"/>
        <w:numPr>
          <w:ilvl w:val="0"/>
          <w:numId w:val="2"/>
        </w:numPr>
        <w:spacing w:after="60"/>
      </w:pPr>
      <w:r>
        <w:rPr>
          <w:b/>
          <w:bCs/>
        </w:rPr>
        <w:t xml:space="preserve">0115 — RFQ reply could not be recorded. </w:t>
      </w:r>
      <w:r>
        <w:t xml:space="preserve">pricing_cost_inputs rejected kind PURCHASE. Applied on both databases.</w:t>
      </w:r>
    </w:p>
    <w:p>
      <w:pPr>
        <w:pStyle w:val="ListParagraph"/>
        <w:numPr>
          <w:ilvl w:val="0"/>
          <w:numId w:val="2"/>
        </w:numPr>
        <w:spacing w:after="60"/>
      </w:pPr>
      <w:r>
        <w:rPr>
          <w:b/>
          <w:bCs/>
        </w:rPr>
        <w:t xml:space="preserve">0114 — Standard Quote lines. </w:t>
      </w:r>
      <w:r>
        <w:t xml:space="preserve">Product, pricing document and flags on standard_quote_lines and the back-reference on RFQs. Applied on both databases; the save now keeps the product and the document, so the gate and the flag work.</w:t>
      </w:r>
    </w:p>
    <w:p>
      <w:pPr>
        <w:pStyle w:val="ListParagraph"/>
        <w:numPr>
          <w:ilvl w:val="0"/>
          <w:numId w:val="2"/>
        </w:numPr>
        <w:spacing w:after="60"/>
      </w:pPr>
      <w:r>
        <w:rPr>
          <w:b/>
          <w:bCs/>
        </w:rPr>
        <w:t xml:space="preserve">The engine's "today" was the server's UTC day. </w:t>
      </w:r>
      <w:r>
        <w:t xml:space="preserve">Between midnight and 05:30 IST a cost or reply dated today was not yet in force. The engine and the RFQ reply now use the workspace's calendar date (config.wfm.timezone, Asia/Kolkata by default). Explicit pricing dates passed by the API are untouched.</w:t>
      </w:r>
    </w:p>
    <w:p>
      <w:pPr>
        <w:pStyle w:val="ListParagraph"/>
        <w:numPr>
          <w:ilvl w:val="0"/>
          <w:numId w:val="2"/>
        </w:numPr>
        <w:spacing w:after="60"/>
      </w:pPr>
      <w:r>
        <w:rPr>
          <w:b/>
          <w:bCs/>
        </w:rPr>
        <w:t xml:space="preserve">The why trace did not name the cost source. </w:t>
      </w:r>
      <w:r>
        <w:t xml:space="preserve">The engine carried it; the chip did not show it. It now reads, for example, "92,500 × 1 · from supplier RFQ reply, confirmed, as of 2026-09-05".</w:t>
      </w:r>
    </w:p>
    <w:p>
      <w:pPr>
        <w:pStyle w:val="Heading2"/>
        <w:spacing w:after="100" w:before="240"/>
      </w:pPr>
      <w:r>
        <w:t xml:space="preserve">Decided after the walk: the line rate is before tax</w:t>
      </w:r>
    </w:p>
    <w:p>
      <w:pPr>
        <w:pStyle w:val="ListParagraph"/>
        <w:numPr>
          <w:ilvl w:val="0"/>
          <w:numId w:val="2"/>
        </w:numPr>
        <w:spacing w:after="60"/>
      </w:pPr>
      <w:r>
        <w:rPr>
          <w:b/>
          <w:bCs/>
        </w:rPr>
        <w:t xml:space="preserve">The rates in this document include tax. </w:t>
      </w:r>
      <w:r>
        <w:t xml:space="preserve">During the walk the line rate was FINAL ÷ qty (26,390.70 on line 1 includes 18% tax) while both quote forms also carry a header Tax %, so tax could be charged twice. Owner decision the same day: the line takes the pre-tax figure (NET_2: 22,365 on line 1) and the header applies tax once; the engine still runs its tax step so the trace and the sample bill show the full bill, and the form fills the header tax from the engine when the rep has not set one. Built, deployed and re-checked the same day (below): the same quote re-priced lands 19,681.20 / 3,06,075 / 1,06,837.50 on the lines, the header tax fills to 18%, and the total is unchanged at 5,10,461.</w:t>
      </w:r>
    </w:p>
    <w:p>
      <w:pPr>
        <w:spacing w:after="60" w:before="12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color w:val="555555"/>
          <w:sz w:val="18"/>
          <w:szCs w:val="18"/>
        </w:rPr>
        <w:t xml:space="preserve">After the change: line rate before tax, header tax 18%, same total</w:t>
      </w:r>
    </w:p>
    <w:p>
      <w:pPr>
        <w:pStyle w:val="Heading2"/>
        <w:spacing w:after="100" w:before="240"/>
      </w:pPr>
      <w:r>
        <w:t xml:space="preserve">Observed, not changed</w:t>
      </w:r>
    </w:p>
    <w:p>
      <w:pPr>
        <w:pStyle w:val="ListParagraph"/>
        <w:numPr>
          <w:ilvl w:val="0"/>
          <w:numId w:val="2"/>
        </w:numPr>
        <w:spacing w:after="60"/>
      </w:pPr>
      <w:r>
        <w:t xml:space="preserve">The RFQ reply recorded before the timezone fix carries as-of 2026-09-05 (the UTC day at the time). Harmless — it is inside every freshness limit — and replies recorded from now on carry the workspace date.</w:t>
      </w:r>
    </w:p>
    <w:p>
      <w:pPr>
        <w:pStyle w:val="ListParagraph"/>
        <w:numPr>
          <w:ilvl w:val="0"/>
          <w:numId w:val="2"/>
        </w:numPr>
        <w:spacing w:after="60"/>
      </w:pPr>
      <w:r>
        <w:t xml:space="preserve">The Go live banner in the Pricing shell only appears after a page load that finds a draft; the wizard's own save creates the draft, so the first time a user finishes the numbers step they may need to reload to see it. Small, worth a follow-up.</w:t>
      </w:r>
    </w:p>
    <w:p>
      <w:pPr>
        <w:pStyle w:val="Heading2"/>
        <w:spacing w:after="100" w:before="240"/>
      </w:pPr>
      <w:r>
        <w:t xml:space="preserve">Not in scope of this walk</w:t>
      </w:r>
    </w:p>
    <w:p>
      <w:pPr>
        <w:pStyle w:val="ListParagraph"/>
        <w:numPr>
          <w:ilvl w:val="0"/>
          <w:numId w:val="2"/>
        </w:numPr>
        <w:spacing w:after="60"/>
      </w:pPr>
      <w:r>
        <w:t xml:space="preserve">Price list, value-based and variant techniques follow the same three steps next (spec §17, Batch 1½).</w:t>
      </w:r>
    </w:p>
    <w:p>
      <w:pPr>
        <w:pStyle w:val="ListParagraph"/>
        <w:numPr>
          <w:ilvl w:val="0"/>
          <w:numId w:val="2"/>
        </w:numPr>
        <w:spacing w:after="60"/>
      </w:pPr>
      <w:r>
        <w:t xml:space="preserve">Approvals for a blocked line (Batch 3).</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A5F"/>
      <w:sz w:val="40"/>
      <w:szCs w:val="40"/>
    </w:rPr>
  </w:style>
  <w:style w:type="paragraph" w:styleId="Heading1">
    <w:name w:val="Heading 1"/>
    <w:basedOn w:val="Normal"/>
    <w:next w:val="Normal"/>
    <w:qFormat/>
    <w:rPr>
      <w:rFonts w:ascii="Calibri" w:cs="Calibri" w:eastAsia="Calibri" w:hAnsi="Calibri"/>
      <w:b/>
      <w:bCs/>
      <w:color w:val="1F3A5F"/>
      <w:sz w:val="28"/>
      <w:szCs w:val="28"/>
    </w:rPr>
  </w:style>
  <w:style w:type="paragraph" w:styleId="Heading2">
    <w:name w:val="Heading 2"/>
    <w:basedOn w:val="Normal"/>
    <w:next w:val="Normal"/>
    <w:qFormat/>
    <w:rPr>
      <w:rFonts w:ascii="Calibri" w:cs="Calibri" w:eastAsia="Calibri" w:hAnsi="Calibri"/>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f2368fd5d4f669e18bb3f517c031c8aa3bd9508.jpg"/><Relationship Id="rId8" Type="http://schemas.openxmlformats.org/officeDocument/2006/relationships/image" Target="media/4989e4ca9b34b33c9d432a6036c5ba25aeb411a0.jpg"/><Relationship Id="rId9" Type="http://schemas.openxmlformats.org/officeDocument/2006/relationships/image" Target="media/d3223e3930e352f7f90d783cf2df7ae578f38bef.jpg"/><Relationship Id="rId10" Type="http://schemas.openxmlformats.org/officeDocument/2006/relationships/image" Target="media/16c7634afffd16a83680f5fbcc26f79c8783b38d.jpg"/><Relationship Id="rId11" Type="http://schemas.openxmlformats.org/officeDocument/2006/relationships/image" Target="media/892073253c5951013dfaecc8a774128016edd1b6.jpg"/><Relationship Id="rId12" Type="http://schemas.openxmlformats.org/officeDocument/2006/relationships/image" Target="media/e4088ceb19439ebcd8e5bbeaed10adb27c257169.jpg"/><Relationship Id="rId13" Type="http://schemas.openxmlformats.org/officeDocument/2006/relationships/image" Target="media/2561f80310799f5903cc3d903174d5bf629c076e.jpg"/><Relationship Id="rId14" Type="http://schemas.openxmlformats.org/officeDocument/2006/relationships/image" Target="media/3c912ecf276011b99cc88818f28bf09831735aef.jpg"/><Relationship Id="rId15" Type="http://schemas.openxmlformats.org/officeDocument/2006/relationships/image" Target="media/72386628454081ff2ea3a04e570bce8142aaf7cf.jpg"/><Relationship Id="rId16" Type="http://schemas.openxmlformats.org/officeDocument/2006/relationships/image" Target="media/3453991ff55fbd7157449e4c76051f100d1b0219.jpg"/><Relationship Id="rId17" Type="http://schemas.openxmlformats.org/officeDocument/2006/relationships/image" Target="media/a7c2a7416cd24975d65285d04022cce58d517afa.jpg"/><Relationship Id="rId18" Type="http://schemas.openxmlformats.org/officeDocument/2006/relationships/image" Target="media/58e7603cb5e7ec12a46a74c0f1634846b47fdbe0.jpg"/><Relationship Id="rId19" Type="http://schemas.openxmlformats.org/officeDocument/2006/relationships/image" Target="media/90543d44ef8698de52041465e45b02c241489d55.jpg"/><Relationship Id="rId20" Type="http://schemas.openxmlformats.org/officeDocument/2006/relationships/image" Target="media/9edcb3c1b4c84f473971646af36da2c36cb6e8ab.jpg"/><Relationship Id="rId21" Type="http://schemas.openxmlformats.org/officeDocument/2006/relationships/image" Target="media/c99f373e6ac04693d23f4a7d057442352b1ee012.jpg"/><Relationship Id="rId22" Type="http://schemas.openxmlformats.org/officeDocument/2006/relationships/image" Target="media/3cf5f4a077feeabf15b4c8535ea8b9035fb59c08.jpg"/><Relationship Id="rId23" Type="http://schemas.openxmlformats.org/officeDocument/2006/relationships/image" Target="media/a8a8f8439023f509e7c064e4782caaf2a9ad2e82.jpg"/><Relationship Id="rId24" Type="http://schemas.openxmlformats.org/officeDocument/2006/relationships/image" Target="media/db4f33d2c89e42a756d2c8cc011b620e72f6ced8.jpg"/><Relationship Id="rId25" Type="http://schemas.openxmlformats.org/officeDocument/2006/relationships/image" Target="media/28fbc9e70340fe0454b99120ace41741fa2d8aac.jpg"/><Relationship Id="rId26" Type="http://schemas.openxmlformats.org/officeDocument/2006/relationships/image" Target="media/d01492a1cba6fd33128bb5cac5b98772dad900d5.jpg"/><Relationship Id="rId27" Type="http://schemas.openxmlformats.org/officeDocument/2006/relationships/image" Target="media/d6ad155fb706061604925ffe001b1bea75b0e2ec.jpg"/><Relationship Id="rId28" Type="http://schemas.openxmlformats.org/officeDocument/2006/relationships/image" Target="media/3ec07018575ec9139e6c12c0df1fb49e28c0cad2.jpg"/><Relationship Id="rId29" Type="http://schemas.openxmlformats.org/officeDocument/2006/relationships/image" Target="media/20fc1166a5fed16c621968ad58006f7d865be216.jpg"/><Relationship Id="rId30" Type="http://schemas.openxmlformats.org/officeDocument/2006/relationships/image" Target="media/ed018855addda44c6138ac23b5468ed29e1c9aa1.jpg"/><Relationship Id="rId31" Type="http://schemas.openxmlformats.org/officeDocument/2006/relationships/image" Target="media/284e0901be161cdd82ff3e6094cc34c01562a168.jpg"/><Relationship Id="rId32" Type="http://schemas.openxmlformats.org/officeDocument/2006/relationships/image" Target="media/cadb1e60623dfabab4b03bb16481fd8d6ad14b5e.jpg"/><Relationship Id="rId33" Type="http://schemas.openxmlformats.org/officeDocument/2006/relationships/image" Target="media/9bf149b70449842c684e5822fb730e7f276cfced.jpg"/><Relationship Id="rId34" Type="http://schemas.openxmlformats.org/officeDocument/2006/relationships/image" Target="media/1ac3cd1328c8f8a483241b9e8056069fff4817ff.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2026-09-06T06:14:07.552Z</dcterms:created>
  <dcterms:modified xsi:type="dcterms:W3CDTF">2026-09-06T06:14:07.561Z</dcterms:modified>
</cp:coreProperties>
</file>

<file path=docProps/custom.xml><?xml version="1.0" encoding="utf-8"?>
<Properties xmlns="http://schemas.openxmlformats.org/officeDocument/2006/custom-properties" xmlns:vt="http://schemas.openxmlformats.org/officeDocument/2006/docPropsVTypes"/>
</file>