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276"/>
          <w:sz w:val="56"/>
        </w:rPr>
        <w:t>IEU-CEPA Compliance Scanner</w:t>
      </w:r>
    </w:p>
    <w:p>
      <w:pPr>
        <w:jc w:val="center"/>
      </w:pPr>
      <w:r>
        <w:rPr>
          <w:color w:val="444444"/>
          <w:sz w:val="28"/>
        </w:rPr>
        <w:t>Projektdokumentation – Prototyp</w:t>
      </w:r>
    </w:p>
    <w:p/>
    <w:p>
      <w:pPr>
        <w:jc w:val="center"/>
      </w:pPr>
      <w:r>
        <w:t>Stand: März 2026  |  Version 1.0  |  HRW Master Projekt 2</w:t>
      </w:r>
    </w:p>
    <w:p>
      <w:r>
        <w:br w:type="page"/>
      </w:r>
    </w:p>
    <w:p>
      <w:pPr>
        <w:pStyle w:val="Heading1"/>
      </w:pPr>
      <w:r>
        <w:rPr>
          <w:color w:val="1A5276"/>
          <w:sz w:val="40"/>
        </w:rPr>
        <w:t>1. Projektüberblick</w:t>
      </w:r>
    </w:p>
    <w:p>
      <w:pPr>
        <w:spacing w:after="80"/>
      </w:pPr>
      <w:r>
        <w:t>IEU-CEPA Compliance Scanner ist eine mobile App (React Native / Expo) mit einem Python-Backend, die indonesischen KMU-Exporteuren hilft, EU-Compliance-Anforderungen im Rahmen des IEU-CEPA Abkommens (Indonesia–EU Comprehensive Economic Partnership Agreement) zu verstehen und zu erfüllen.</w:t>
      </w:r>
    </w:p>
    <w:p>
      <w:pPr>
        <w:spacing w:after="80"/>
      </w:pPr>
      <w:r>
        <w:t>Das Backend nutzt ein RAG-System (Retrieval-Augmented Generation): Offizielle EU-Rechtsdokumente werden als Wissensbasis indexiert. Nutzerfragen und Compliance-Analysen werden mit diesem Wissen angereichert, bevor sie an das KI-Modell (GPT-4o-mini) gesendet werden.</w:t>
      </w:r>
    </w:p>
    <w:p>
      <w:pPr>
        <w:pStyle w:val="Heading2"/>
      </w:pPr>
      <w:r>
        <w:rPr>
          <w:color w:val="1A5276"/>
          <w:sz w:val="30"/>
        </w:rPr>
        <w:t>Projektstruktur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ieu-cepa-scan/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├── mobile/          ← React Native Expo App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│   ├── app/         ← Screens (Expo Router)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│   ├── components/  ← Wiederverwendbare Komponenten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│   ├── context/     ← AuthContext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│   ├── lib/         ← Storage &amp; API Utilities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│   └── constants/   ← API-Konfiguration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├── backend/         ← Python FastAPI + RAG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│   ├── rag/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│   │   ├── ingest.py    ← PDFs indexieren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│   │   └── retriever.py ← RAG-Abruf + OpenAI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│   ├── main.py          ← API Endpoints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│   ├── documents/       ← EU-Rechtsdokumente (PDFs)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│   ├── chroma_db/       ← Vektordatenbank (auto-generiert)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│   └── venv/            ← Python virtual environment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└── docs/                ← Projektdokumentation</w:t>
      </w:r>
    </w:p>
    <w:p>
      <w:r>
        <w:br w:type="page"/>
      </w:r>
    </w:p>
    <w:p>
      <w:pPr>
        <w:pStyle w:val="Heading1"/>
      </w:pPr>
      <w:r>
        <w:rPr>
          <w:color w:val="1A5276"/>
          <w:sz w:val="40"/>
        </w:rPr>
        <w:t>2. Mobile App</w:t>
      </w:r>
    </w:p>
    <w:p>
      <w:pPr>
        <w:pStyle w:val="Heading2"/>
      </w:pPr>
      <w:r>
        <w:rPr>
          <w:color w:val="1A5276"/>
          <w:sz w:val="30"/>
        </w:rPr>
        <w:t>Technologie-Stack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Bereich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Technologie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Mobile Framework</w:t>
            </w:r>
          </w:p>
        </w:tc>
        <w:tc>
          <w:tcPr>
            <w:tcW w:type="dxa" w:w="4320"/>
          </w:tcPr>
          <w:p>
            <w:r>
              <w:t>React Native + Expo 54</w:t>
            </w:r>
          </w:p>
        </w:tc>
      </w:tr>
      <w:tr>
        <w:tc>
          <w:tcPr>
            <w:tcW w:type="dxa" w:w="4320"/>
          </w:tcPr>
          <w:p>
            <w:r>
              <w:t>Routing</w:t>
            </w:r>
          </w:p>
        </w:tc>
        <w:tc>
          <w:tcPr>
            <w:tcW w:type="dxa" w:w="4320"/>
          </w:tcPr>
          <w:p>
            <w:r>
              <w:t>Expo Router (File-based)</w:t>
            </w:r>
          </w:p>
        </w:tc>
      </w:tr>
      <w:tr>
        <w:tc>
          <w:tcPr>
            <w:tcW w:type="dxa" w:w="4320"/>
          </w:tcPr>
          <w:p>
            <w:r>
              <w:t>Icons</w:t>
            </w:r>
          </w:p>
        </w:tc>
        <w:tc>
          <w:tcPr>
            <w:tcW w:type="dxa" w:w="4320"/>
          </w:tcPr>
          <w:p>
            <w:r>
              <w:t>@expo/vector-icons (Ionicons)</w:t>
            </w:r>
          </w:p>
        </w:tc>
      </w:tr>
      <w:tr>
        <w:tc>
          <w:tcPr>
            <w:tcW w:type="dxa" w:w="4320"/>
          </w:tcPr>
          <w:p>
            <w:r>
              <w:t>Lokale Datenspeicherung</w:t>
            </w:r>
          </w:p>
        </w:tc>
        <w:tc>
          <w:tcPr>
            <w:tcW w:type="dxa" w:w="4320"/>
          </w:tcPr>
          <w:p>
            <w:r>
              <w:t>AsyncStorage</w:t>
            </w:r>
          </w:p>
        </w:tc>
      </w:tr>
      <w:tr>
        <w:tc>
          <w:tcPr>
            <w:tcW w:type="dxa" w:w="4320"/>
          </w:tcPr>
          <w:p>
            <w:r>
              <w:t>Sprache</w:t>
            </w:r>
          </w:p>
        </w:tc>
        <w:tc>
          <w:tcPr>
            <w:tcW w:type="dxa" w:w="4320"/>
          </w:tcPr>
          <w:p>
            <w:r>
              <w:t>TypeScript</w:t>
            </w:r>
          </w:p>
        </w:tc>
      </w:tr>
      <w:tr>
        <w:tc>
          <w:tcPr>
            <w:tcW w:type="dxa" w:w="4320"/>
          </w:tcPr>
          <w:p>
            <w:r>
              <w:t>Styling</w:t>
            </w:r>
          </w:p>
        </w:tc>
        <w:tc>
          <w:tcPr>
            <w:tcW w:type="dxa" w:w="4320"/>
          </w:tcPr>
          <w:p>
            <w:r>
              <w:t>React Native StyleSheet</w:t>
            </w:r>
          </w:p>
        </w:tc>
      </w:tr>
    </w:tbl>
    <w:p/>
    <w:p>
      <w:pPr>
        <w:pStyle w:val="Heading2"/>
      </w:pPr>
      <w:r>
        <w:rPr>
          <w:color w:val="1A5276"/>
          <w:sz w:val="30"/>
        </w:rPr>
        <w:t>Funktionsübersicht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Funktion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Beschreibung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Registrierung / Login</w:t>
            </w:r>
          </w:p>
        </w:tc>
        <w:tc>
          <w:tcPr>
            <w:tcW w:type="dxa" w:w="2880"/>
          </w:tcPr>
          <w:p>
            <w:r>
              <w:t>✅ Fertig</w:t>
            </w:r>
          </w:p>
        </w:tc>
        <w:tc>
          <w:tcPr>
            <w:tcW w:type="dxa" w:w="2880"/>
          </w:tcPr>
          <w:p>
            <w:r>
              <w:t>Lokal via AsyncStorage, kein Server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✅ Fertig</w:t>
            </w:r>
          </w:p>
        </w:tc>
        <w:tc>
          <w:tcPr>
            <w:tcW w:type="dxa" w:w="2880"/>
          </w:tcPr>
          <w:p>
            <w:r>
              <w:t>Letzter Scan + Feature-Karten + Chat-Zugang</w:t>
            </w:r>
          </w:p>
        </w:tc>
      </w:tr>
      <w:tr>
        <w:tc>
          <w:tcPr>
            <w:tcW w:type="dxa" w:w="2880"/>
          </w:tcPr>
          <w:p>
            <w:r>
              <w:t>Readiness Scan</w:t>
            </w:r>
          </w:p>
        </w:tc>
        <w:tc>
          <w:tcPr>
            <w:tcW w:type="dxa" w:w="2880"/>
          </w:tcPr>
          <w:p>
            <w:r>
              <w:t>✅ Fertig</w:t>
            </w:r>
          </w:p>
        </w:tc>
        <w:tc>
          <w:tcPr>
            <w:tcW w:type="dxa" w:w="2880"/>
          </w:tcPr>
          <w:p>
            <w:r>
              <w:t>4-Schritt-Formular + KI-Analyse via Backend</w:t>
            </w:r>
          </w:p>
        </w:tc>
      </w:tr>
      <w:tr>
        <w:tc>
          <w:tcPr>
            <w:tcW w:type="dxa" w:w="2880"/>
          </w:tcPr>
          <w:p>
            <w:r>
              <w:t>Aktionsplan</w:t>
            </w:r>
          </w:p>
        </w:tc>
        <w:tc>
          <w:tcPr>
            <w:tcW w:type="dxa" w:w="2880"/>
          </w:tcPr>
          <w:p>
            <w:r>
              <w:t>✅ Fertig</w:t>
            </w:r>
          </w:p>
        </w:tc>
        <w:tc>
          <w:tcPr>
            <w:tcW w:type="dxa" w:w="2880"/>
          </w:tcPr>
          <w:p>
            <w:r>
              <w:t>Priorisierte Aufgabenliste mit Fortschrittsanzeige</w:t>
            </w:r>
          </w:p>
        </w:tc>
      </w:tr>
      <w:tr>
        <w:tc>
          <w:tcPr>
            <w:tcW w:type="dxa" w:w="2880"/>
          </w:tcPr>
          <w:p>
            <w:r>
              <w:t>KI-Assistent</w:t>
            </w:r>
          </w:p>
        </w:tc>
        <w:tc>
          <w:tcPr>
            <w:tcW w:type="dxa" w:w="2880"/>
          </w:tcPr>
          <w:p>
            <w:r>
              <w:t>✅ Fertig</w:t>
            </w:r>
          </w:p>
        </w:tc>
        <w:tc>
          <w:tcPr>
            <w:tcW w:type="dxa" w:w="2880"/>
          </w:tcPr>
          <w:p>
            <w:r>
              <w:t>Chat mit RAG-Wissensbasis (EU-Rechtsdokumente)</w:t>
            </w:r>
          </w:p>
        </w:tc>
      </w:tr>
      <w:tr>
        <w:tc>
          <w:tcPr>
            <w:tcW w:type="dxa" w:w="2880"/>
          </w:tcPr>
          <w:p>
            <w:r>
              <w:t>Profil &amp; Verlauf</w:t>
            </w:r>
          </w:p>
        </w:tc>
        <w:tc>
          <w:tcPr>
            <w:tcW w:type="dxa" w:w="2880"/>
          </w:tcPr>
          <w:p>
            <w:r>
              <w:t>✅ Fertig</w:t>
            </w:r>
          </w:p>
        </w:tc>
        <w:tc>
          <w:tcPr>
            <w:tcW w:type="dxa" w:w="2880"/>
          </w:tcPr>
          <w:p>
            <w:r>
              <w:t>Nutzerinfo, Statistiken, letzte 3 Scans</w:t>
            </w:r>
          </w:p>
        </w:tc>
      </w:tr>
      <w:tr>
        <w:tc>
          <w:tcPr>
            <w:tcW w:type="dxa" w:w="2880"/>
          </w:tcPr>
          <w:p>
            <w:r>
              <w:t>Learning Hub</w:t>
            </w:r>
          </w:p>
        </w:tc>
        <w:tc>
          <w:tcPr>
            <w:tcW w:type="dxa" w:w="2880"/>
          </w:tcPr>
          <w:p>
            <w:r>
              <w:t>🔜 Geplant</w:t>
            </w:r>
          </w:p>
        </w:tc>
        <w:tc>
          <w:tcPr>
            <w:tcW w:type="dxa" w:w="2880"/>
          </w:tcPr>
          <w:p>
            <w:r>
              <w:t>Platzhalter mit 6 geplanten Modulen</w:t>
            </w:r>
          </w:p>
        </w:tc>
      </w:tr>
      <w:tr>
        <w:tc>
          <w:tcPr>
            <w:tcW w:type="dxa" w:w="2880"/>
          </w:tcPr>
          <w:p>
            <w:r>
              <w:t>Community Hub</w:t>
            </w:r>
          </w:p>
        </w:tc>
        <w:tc>
          <w:tcPr>
            <w:tcW w:type="dxa" w:w="2880"/>
          </w:tcPr>
          <w:p>
            <w:r>
              <w:t>🔜 Geplant</w:t>
            </w:r>
          </w:p>
        </w:tc>
        <w:tc>
          <w:tcPr>
            <w:tcW w:type="dxa" w:w="2880"/>
          </w:tcPr>
          <w:p>
            <w:r>
              <w:t>Peer-to-Peer Austausch</w:t>
            </w:r>
          </w:p>
        </w:tc>
      </w:tr>
      <w:tr>
        <w:tc>
          <w:tcPr>
            <w:tcW w:type="dxa" w:w="2880"/>
          </w:tcPr>
          <w:p>
            <w:r>
              <w:t>Expert Matching</w:t>
            </w:r>
          </w:p>
        </w:tc>
        <w:tc>
          <w:tcPr>
            <w:tcW w:type="dxa" w:w="2880"/>
          </w:tcPr>
          <w:p>
            <w:r>
              <w:t>🔜 Geplant</w:t>
            </w:r>
          </w:p>
        </w:tc>
        <w:tc>
          <w:tcPr>
            <w:tcW w:type="dxa" w:w="2880"/>
          </w:tcPr>
          <w:p>
            <w:r>
              <w:t>Verbindung mit Compliance-Experten</w:t>
            </w:r>
          </w:p>
        </w:tc>
      </w:tr>
    </w:tbl>
    <w:p/>
    <w:p>
      <w:pPr>
        <w:pStyle w:val="Heading2"/>
      </w:pPr>
      <w:r>
        <w:rPr>
          <w:color w:val="1A5276"/>
          <w:sz w:val="30"/>
        </w:rPr>
        <w:t>Screens im Detail</w:t>
      </w:r>
    </w:p>
    <w:p>
      <w:pPr>
        <w:pStyle w:val="Heading3"/>
      </w:pPr>
      <w:r>
        <w:rPr>
          <w:color w:val="2E86C1"/>
          <w:sz w:val="24"/>
        </w:rPr>
        <w:t>Authentifizierung (app/auth.tsx)</w:t>
      </w:r>
    </w:p>
    <w:p>
      <w:pPr>
        <w:pStyle w:val="ListBullet"/>
        <w:ind w:left="360"/>
      </w:pPr>
      <w:r>
        <w:t>Login-Tab: E-Mail + Passwort</w:t>
      </w:r>
    </w:p>
    <w:p>
      <w:pPr>
        <w:pStyle w:val="ListBullet"/>
        <w:ind w:left="360"/>
      </w:pPr>
      <w:r>
        <w:t>Registrierungs-Tab: Name, E-Mail, Passwort, Unternehmen, Branche</w:t>
      </w:r>
    </w:p>
    <w:p>
      <w:pPr>
        <w:pStyle w:val="ListBullet"/>
        <w:ind w:left="360"/>
      </w:pPr>
      <w:r>
        <w:t>Validierung: E-Mail-Format, Passwort min. 6 Zeichen, Pflichtfelder</w:t>
      </w:r>
    </w:p>
    <w:p>
      <w:pPr>
        <w:pStyle w:val="ListBullet"/>
        <w:ind w:left="360"/>
      </w:pPr>
      <w:r>
        <w:t>Verfügbare Branchen: Herstellung, Textil, Lebensmittel, Elektronik, Möbel, Chemikalien, Landwirtschaft, Sonstiges</w:t>
      </w:r>
    </w:p>
    <w:p>
      <w:pPr>
        <w:pStyle w:val="ListBullet"/>
        <w:ind w:left="360"/>
      </w:pPr>
      <w:r>
        <w:t>Wichtig: Kein Server – alle Daten lokal im AsyncStorage des Geräts</w:t>
      </w:r>
    </w:p>
    <w:p>
      <w:pPr>
        <w:pStyle w:val="Heading3"/>
      </w:pPr>
      <w:r>
        <w:rPr>
          <w:color w:val="2E86C1"/>
          <w:sz w:val="24"/>
        </w:rPr>
        <w:t>Dashboard (app/(tabs)/dashboard.tsx)</w:t>
      </w:r>
    </w:p>
    <w:p>
      <w:pPr>
        <w:pStyle w:val="ListBullet"/>
        <w:ind w:left="360"/>
      </w:pPr>
      <w:r>
        <w:t>Begrüßung mit Nutzername und Unternehmen</w:t>
      </w:r>
    </w:p>
    <w:p>
      <w:pPr>
        <w:pStyle w:val="ListBullet"/>
        <w:ind w:left="360"/>
      </w:pPr>
      <w:r>
        <w:t>Letzter Scan: Score, Risikolevel, Produktname, Link zum Aktionsplan</w:t>
      </w:r>
    </w:p>
    <w:p>
      <w:pPr>
        <w:pStyle w:val="ListBullet"/>
        <w:ind w:left="360"/>
      </w:pPr>
      <w:r>
        <w:t>Leerer Zustand: Aufforderung zum ersten Scan falls noch keiner vorhanden</w:t>
      </w:r>
    </w:p>
    <w:p>
      <w:pPr>
        <w:pStyle w:val="ListBullet"/>
        <w:ind w:left="360"/>
      </w:pPr>
      <w:r>
        <w:t>Feature-Karten (2-spaltig): Readiness Scan, Aktionsplan, KI-Assistent, Learning Hub</w:t>
      </w:r>
    </w:p>
    <w:p>
      <w:pPr>
        <w:pStyle w:val="ListBullet"/>
        <w:ind w:left="360"/>
      </w:pPr>
      <w:r>
        <w:t>KI-Assistent-Button öffnet das Chat-Modal</w:t>
      </w:r>
    </w:p>
    <w:p>
      <w:pPr>
        <w:pStyle w:val="Heading3"/>
      </w:pPr>
      <w:r>
        <w:rPr>
          <w:color w:val="2E86C1"/>
          <w:sz w:val="24"/>
        </w:rPr>
        <w:t>Readiness Scan (app/(tabs)/scan.tsx)</w:t>
      </w:r>
    </w:p>
    <w:p>
      <w:pPr>
        <w:spacing w:after="80"/>
      </w:pPr>
      <w:r>
        <w:t>Vierschrittiger Assistent zur Compliance-Bewertung:</w:t>
      </w:r>
    </w:p>
    <w:p>
      <w:pPr>
        <w:pStyle w:val="ListBullet"/>
        <w:ind w:left="360"/>
      </w:pPr>
      <w:r>
        <w:t>Schritt 1 – Unternehmensprofil: Name, Branche, Größe (Mikro/Klein/Mittel/Groß), Region</w:t>
      </w:r>
    </w:p>
    <w:p>
      <w:pPr>
        <w:pStyle w:val="ListBullet"/>
        <w:ind w:left="360"/>
      </w:pPr>
      <w:r>
        <w:t>Schritt 2 – Produkt &amp; Markt: Produkttyp, HS-Code, Zielland in der EU, Exporterfahrung</w:t>
      </w:r>
    </w:p>
    <w:p>
      <w:pPr>
        <w:pStyle w:val="ListBullet"/>
        <w:ind w:left="360"/>
      </w:pPr>
      <w:r>
        <w:t>Schritt 3 – Compliance-Selbsteinschätzung:</w:t>
      </w:r>
    </w:p>
    <w:p>
      <w:pPr>
        <w:pStyle w:val="ListBullet"/>
        <w:ind w:left="720"/>
      </w:pPr>
      <w:r>
        <w:t>Digital Product Passport (DPP) – EU 2024/1781</w:t>
      </w:r>
    </w:p>
    <w:p>
      <w:pPr>
        <w:pStyle w:val="ListBullet"/>
        <w:ind w:left="720"/>
      </w:pPr>
      <w:r>
        <w:t>EUDR (Entwaldungsverordnung) – EU 2023/1115</w:t>
      </w:r>
    </w:p>
    <w:p>
      <w:pPr>
        <w:pStyle w:val="ListBullet"/>
        <w:ind w:left="720"/>
      </w:pPr>
      <w:r>
        <w:t>CE-Kennzeichnung – EU 768/2008</w:t>
      </w:r>
    </w:p>
    <w:p>
      <w:pPr>
        <w:pStyle w:val="ListBullet"/>
        <w:ind w:left="720"/>
      </w:pPr>
      <w:r>
        <w:t>ESG-Berichterstattung (CSRD) – EU 2022/2464</w:t>
      </w:r>
    </w:p>
    <w:p>
      <w:pPr>
        <w:pStyle w:val="ListBullet"/>
        <w:ind w:left="720"/>
      </w:pPr>
      <w:r>
        <w:t>Ursprungsnachweis (Präferenzzölle)</w:t>
      </w:r>
    </w:p>
    <w:p>
      <w:pPr>
        <w:pStyle w:val="ListBullet"/>
        <w:ind w:left="720"/>
      </w:pPr>
      <w:r>
        <w:t>Lebensmittelsicherheit – EU 178/2002</w:t>
      </w:r>
    </w:p>
    <w:p>
      <w:pPr>
        <w:pStyle w:val="ListBullet"/>
        <w:ind w:left="360"/>
      </w:pPr>
      <w:r>
        <w:t>Schritt 4 – Ergebnisse: Score-Kreis, Risikolevel, erfüllte/fehlende Anforderungen, Aktionsplan</w:t>
      </w:r>
    </w:p>
    <w:p>
      <w:pPr>
        <w:spacing w:after="80"/>
      </w:pPr>
      <w:r>
        <w:t>Score-Farben: grün (≥70), orange (40–69), rot (&lt;40)</w:t>
      </w:r>
    </w:p>
    <w:p>
      <w:pPr>
        <w:spacing w:after="80"/>
      </w:pPr>
      <w:r>
        <w:t>Ergebnisse werden automatisch lokal gespeichert.</w:t>
      </w:r>
    </w:p>
    <w:p>
      <w:pPr>
        <w:pStyle w:val="Heading3"/>
      </w:pPr>
      <w:r>
        <w:rPr>
          <w:color w:val="2E86C1"/>
          <w:sz w:val="24"/>
        </w:rPr>
        <w:t>Aktionsplan (app/(tabs)/action-plan.tsx)</w:t>
      </w:r>
    </w:p>
    <w:p>
      <w:pPr>
        <w:pStyle w:val="ListBullet"/>
        <w:ind w:left="360"/>
      </w:pPr>
      <w:r>
        <w:t>Aufgaben aus dem letzten Scan werden angezeigt</w:t>
      </w:r>
    </w:p>
    <w:p>
      <w:pPr>
        <w:pStyle w:val="ListBullet"/>
        <w:ind w:left="360"/>
      </w:pPr>
      <w:r>
        <w:t>Filterbar nach Priorität: Alle / Hoch / Mittel / Niedrig</w:t>
      </w:r>
    </w:p>
    <w:p>
      <w:pPr>
        <w:pStyle w:val="ListBullet"/>
        <w:ind w:left="360"/>
      </w:pPr>
      <w:r>
        <w:t>Checkboxen zum Abhaken erledigter Aufgaben</w:t>
      </w:r>
    </w:p>
    <w:p>
      <w:pPr>
        <w:pStyle w:val="ListBullet"/>
        <w:ind w:left="360"/>
      </w:pPr>
      <w:r>
        <w:t>Fortschrittsbalken: Erledigt / Gesamt in Prozent</w:t>
      </w:r>
    </w:p>
    <w:p>
      <w:pPr>
        <w:pStyle w:val="ListBullet"/>
        <w:ind w:left="360"/>
      </w:pPr>
      <w:r>
        <w:t>Prioritätszuweisung: obere 34% = Hoch, 34–67% = Mittel, Rest = Niedrig</w:t>
      </w:r>
    </w:p>
    <w:p>
      <w:pPr>
        <w:pStyle w:val="Heading3"/>
      </w:pPr>
      <w:r>
        <w:rPr>
          <w:color w:val="2E86C1"/>
          <w:sz w:val="24"/>
        </w:rPr>
        <w:t>KI-Assistent (components/ChatModal.tsx)</w:t>
      </w:r>
    </w:p>
    <w:p>
      <w:pPr>
        <w:pStyle w:val="ListBullet"/>
        <w:ind w:left="360"/>
      </w:pPr>
      <w:r>
        <w:t>Schnellaktionen: 'Was ist der DPP?', 'EUDR erklären', 'CE-Kennzeichnung', 'ESG-Pflichten'</w:t>
      </w:r>
    </w:p>
    <w:p>
      <w:pPr>
        <w:pStyle w:val="ListBullet"/>
        <w:ind w:left="360"/>
      </w:pPr>
      <w:r>
        <w:t>Nachrichten: Nutzer rechts (dunkelblau), KI links (grau)</w:t>
      </w:r>
    </w:p>
    <w:p>
      <w:pPr>
        <w:pStyle w:val="ListBullet"/>
        <w:ind w:left="360"/>
      </w:pPr>
      <w:r>
        <w:t>Quellendokumente als Badge unter jeder KI-Antwort</w:t>
      </w:r>
    </w:p>
    <w:p>
      <w:pPr>
        <w:pStyle w:val="ListBullet"/>
        <w:ind w:left="360"/>
      </w:pPr>
      <w:r>
        <w:t>Gesprächsverlauf wird innerhalb der Sitzung gehalten</w:t>
      </w:r>
    </w:p>
    <w:p>
      <w:pPr>
        <w:pStyle w:val="ListBullet"/>
        <w:ind w:left="360"/>
      </w:pPr>
      <w:r>
        <w:t>API-Call: POST /chat an das lokale Backend</w:t>
      </w:r>
    </w:p>
    <w:p>
      <w:pPr>
        <w:pStyle w:val="Heading3"/>
      </w:pPr>
      <w:r>
        <w:rPr>
          <w:color w:val="2E86C1"/>
          <w:sz w:val="24"/>
        </w:rPr>
        <w:t>Profil (app/(tabs)/profile.tsx)</w:t>
      </w:r>
    </w:p>
    <w:p>
      <w:pPr>
        <w:pStyle w:val="ListBullet"/>
        <w:ind w:left="360"/>
      </w:pPr>
      <w:r>
        <w:t>Nutzerdaten: Name, E-Mail, Unternehmen, Branche</w:t>
      </w:r>
    </w:p>
    <w:p>
      <w:pPr>
        <w:pStyle w:val="ListBullet"/>
        <w:ind w:left="360"/>
      </w:pPr>
      <w:r>
        <w:t>Statistiken: Anzahl Scans, Aktionspunkte, letzter Score</w:t>
      </w:r>
    </w:p>
    <w:p>
      <w:pPr>
        <w:pStyle w:val="ListBullet"/>
        <w:ind w:left="360"/>
      </w:pPr>
      <w:r>
        <w:t>Scan-Verlauf: letzte 3 Scans mit Datum, Produkt, Score</w:t>
      </w:r>
    </w:p>
    <w:p>
      <w:pPr>
        <w:pStyle w:val="ListBullet"/>
        <w:ind w:left="360"/>
      </w:pPr>
      <w:r>
        <w:t>Einstellungen: Sprache (Deutsch), Benachrichtigungen</w:t>
      </w:r>
    </w:p>
    <w:p>
      <w:pPr>
        <w:pStyle w:val="ListBullet"/>
        <w:ind w:left="360"/>
      </w:pPr>
      <w:r>
        <w:t>App-Info: Version, Backend-URL, Datenspeicherung</w:t>
      </w:r>
    </w:p>
    <w:p>
      <w:pPr>
        <w:pStyle w:val="ListBullet"/>
        <w:ind w:left="360"/>
      </w:pPr>
      <w:r>
        <w:t>Logout mit Bestätigungsdialog</w:t>
      </w:r>
    </w:p>
    <w:p>
      <w:pPr>
        <w:pStyle w:val="Heading2"/>
      </w:pPr>
      <w:r>
        <w:rPr>
          <w:color w:val="1A5276"/>
          <w:sz w:val="30"/>
        </w:rPr>
        <w:t>Datenspeicherung</w:t>
      </w:r>
    </w:p>
    <w:p>
      <w:pPr>
        <w:spacing w:after="80"/>
      </w:pPr>
      <w:r>
        <w:t>Alle Daten liegen lokal auf dem Gerät (kein Cloud-Speicher):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Schlüssel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Inhalt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@ieu_cepa:user</w:t>
            </w:r>
          </w:p>
        </w:tc>
        <w:tc>
          <w:tcPr>
            <w:tcW w:type="dxa" w:w="4320"/>
          </w:tcPr>
          <w:p>
            <w:r>
              <w:t>Nutzerprofil: Name, E-Mail, Unternehmen, Branche, ID</w:t>
            </w:r>
          </w:p>
        </w:tc>
      </w:tr>
      <w:tr>
        <w:tc>
          <w:tcPr>
            <w:tcW w:type="dxa" w:w="4320"/>
          </w:tcPr>
          <w:p>
            <w:r>
              <w:t>@ieu_cepa:scans</w:t>
            </w:r>
          </w:p>
        </w:tc>
        <w:tc>
          <w:tcPr>
            <w:tcW w:type="dxa" w:w="4320"/>
          </w:tcPr>
          <w:p>
            <w:r>
              <w:t>Liste aller Scan-Ergebnisse mit Score, Risikolevel, Anforderungen, Aktionsplan</w:t>
            </w:r>
          </w:p>
        </w:tc>
      </w:tr>
    </w:tbl>
    <w:p/>
    <w:p>
      <w:pPr>
        <w:pStyle w:val="Heading2"/>
      </w:pPr>
      <w:r>
        <w:rPr>
          <w:color w:val="1A5276"/>
          <w:sz w:val="30"/>
        </w:rPr>
        <w:t>API-Konfiguration</w:t>
      </w:r>
    </w:p>
    <w:p>
      <w:pPr>
        <w:spacing w:after="80"/>
      </w:pPr>
      <w:r>
        <w:t>Konfigurationsdatei: mobile/constants/api.ts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// Für Emulator:    "http://localhost:8000"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// Für echtes Handy: IP des PCs im gleichen WLAN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export const API_BASE_URL = "http://192.168.178.180:8000";</w:t>
      </w:r>
    </w:p>
    <w:p>
      <w:pPr>
        <w:spacing w:after="80"/>
      </w:pPr>
      <w:r>
        <w:t>Handy und PC müssen im gleichen WLAN-Netzwerk sein.</w:t>
      </w:r>
    </w:p>
    <w:p>
      <w:r>
        <w:br w:type="page"/>
      </w:r>
    </w:p>
    <w:p>
      <w:pPr>
        <w:pStyle w:val="Heading1"/>
      </w:pPr>
      <w:r>
        <w:rPr>
          <w:color w:val="1A5276"/>
          <w:sz w:val="40"/>
        </w:rPr>
        <w:t>3. Backend</w:t>
      </w:r>
    </w:p>
    <w:p>
      <w:pPr>
        <w:pStyle w:val="Heading2"/>
      </w:pPr>
      <w:r>
        <w:rPr>
          <w:color w:val="1A5276"/>
          <w:sz w:val="30"/>
        </w:rPr>
        <w:t>Technologie-Stack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Bereich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Technologie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Python FastAPI</w:t>
            </w:r>
          </w:p>
        </w:tc>
      </w:tr>
      <w:tr>
        <w:tc>
          <w:tcPr>
            <w:tcW w:type="dxa" w:w="4320"/>
          </w:tcPr>
          <w:p>
            <w:r>
              <w:t>RAG-Framework</w:t>
            </w:r>
          </w:p>
        </w:tc>
        <w:tc>
          <w:tcPr>
            <w:tcW w:type="dxa" w:w="4320"/>
          </w:tcPr>
          <w:p>
            <w:r>
              <w:t>LangChain</w:t>
            </w:r>
          </w:p>
        </w:tc>
      </w:tr>
      <w:tr>
        <w:tc>
          <w:tcPr>
            <w:tcW w:type="dxa" w:w="4320"/>
          </w:tcPr>
          <w:p>
            <w:r>
              <w:t>Vektordatenbank</w:t>
            </w:r>
          </w:p>
        </w:tc>
        <w:tc>
          <w:tcPr>
            <w:tcW w:type="dxa" w:w="4320"/>
          </w:tcPr>
          <w:p>
            <w:r>
              <w:t>ChromaDB (lokal, persistent)</w:t>
            </w:r>
          </w:p>
        </w:tc>
      </w:tr>
      <w:tr>
        <w:tc>
          <w:tcPr>
            <w:tcW w:type="dxa" w:w="4320"/>
          </w:tcPr>
          <w:p>
            <w:r>
              <w:t>Embeddings</w:t>
            </w:r>
          </w:p>
        </w:tc>
        <w:tc>
          <w:tcPr>
            <w:tcW w:type="dxa" w:w="4320"/>
          </w:tcPr>
          <w:p>
            <w:r>
              <w:t>OpenAI text-embedding-3-small</w:t>
            </w:r>
          </w:p>
        </w:tc>
      </w:tr>
      <w:tr>
        <w:tc>
          <w:tcPr>
            <w:tcW w:type="dxa" w:w="4320"/>
          </w:tcPr>
          <w:p>
            <w:r>
              <w:t>KI-Modell</w:t>
            </w:r>
          </w:p>
        </w:tc>
        <w:tc>
          <w:tcPr>
            <w:tcW w:type="dxa" w:w="4320"/>
          </w:tcPr>
          <w:p>
            <w:r>
              <w:t>OpenAI GPT-4o-mini</w:t>
            </w:r>
          </w:p>
        </w:tc>
      </w:tr>
      <w:tr>
        <w:tc>
          <w:tcPr>
            <w:tcW w:type="dxa" w:w="4320"/>
          </w:tcPr>
          <w:p>
            <w:r>
              <w:t>API-Key</w:t>
            </w:r>
          </w:p>
        </w:tc>
        <w:tc>
          <w:tcPr>
            <w:tcW w:type="dxa" w:w="4320"/>
          </w:tcPr>
          <w:p>
            <w:r>
              <w:t>Windows Systemvariable OPENAI_API_KEY</w:t>
            </w:r>
          </w:p>
        </w:tc>
      </w:tr>
      <w:tr>
        <w:tc>
          <w:tcPr>
            <w:tcW w:type="dxa" w:w="4320"/>
          </w:tcPr>
          <w:p>
            <w:r>
              <w:t>Laufzeitumgebung</w:t>
            </w:r>
          </w:p>
        </w:tc>
        <w:tc>
          <w:tcPr>
            <w:tcW w:type="dxa" w:w="4320"/>
          </w:tcPr>
          <w:p>
            <w:r>
              <w:t>Python venv (backend/venv/)</w:t>
            </w:r>
          </w:p>
        </w:tc>
      </w:tr>
    </w:tbl>
    <w:p/>
    <w:p>
      <w:pPr>
        <w:pStyle w:val="Heading2"/>
      </w:pPr>
      <w:r>
        <w:rPr>
          <w:color w:val="1A5276"/>
          <w:sz w:val="30"/>
        </w:rPr>
        <w:t>Backend starten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cd backend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venv/Scripts/uvicorn main:app --reload --host 0.0.0.0</w:t>
      </w:r>
    </w:p>
    <w:p>
      <w:pPr>
        <w:spacing w:after="80"/>
      </w:pPr>
      <w:r>
        <w:t>Erreichbar unter: http://192.168.178.180:8000</w:t>
      </w:r>
    </w:p>
    <w:p>
      <w:pPr>
        <w:spacing w:after="80"/>
      </w:pPr>
      <w:r>
        <w:t>Docs (Swagger UI): http://192.168.178.180:8000/docs</w:t>
      </w:r>
    </w:p>
    <w:p>
      <w:pPr>
        <w:pStyle w:val="Heading2"/>
      </w:pPr>
      <w:r>
        <w:rPr>
          <w:color w:val="1A5276"/>
          <w:sz w:val="30"/>
        </w:rPr>
        <w:t>API Endpoints</w:t>
      </w:r>
    </w:p>
    <w:p>
      <w:pPr>
        <w:pStyle w:val="Heading3"/>
      </w:pPr>
      <w:r>
        <w:rPr>
          <w:color w:val="2E86C1"/>
          <w:sz w:val="24"/>
        </w:rPr>
        <w:t>GET /health</w:t>
      </w:r>
    </w:p>
    <w:p>
      <w:pPr>
        <w:spacing w:after="80"/>
      </w:pPr>
      <w:r>
        <w:t>Prüft ob das Backend läuft.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Response: { "status": "ok" }</w:t>
      </w:r>
    </w:p>
    <w:p>
      <w:pPr>
        <w:pStyle w:val="Heading3"/>
      </w:pPr>
      <w:r>
        <w:rPr>
          <w:color w:val="2E86C1"/>
          <w:sz w:val="24"/>
        </w:rPr>
        <w:t>POST /chat</w:t>
      </w:r>
    </w:p>
    <w:p>
      <w:pPr>
        <w:spacing w:after="80"/>
      </w:pPr>
      <w:r>
        <w:t>KI-Antwort auf eine Compliance-Frage, basierend auf den indizierten EU-Rechtsdokumenten.</w:t>
      </w:r>
    </w:p>
    <w:p>
      <w:pPr>
        <w:spacing w:after="80"/>
      </w:pPr>
      <w:r>
        <w:t>Request: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{ "message": "Was ist der Digital Product Passport?",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 xml:space="preserve">  "history": [{ "role": "user", "content": "..." }, ...] }</w:t>
      </w:r>
    </w:p>
    <w:p>
      <w:pPr>
        <w:spacing w:after="80"/>
      </w:pPr>
      <w:r>
        <w:t>Response: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{ "answer": "Der DPP ist eine digitale Dokumentation...",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 xml:space="preserve">  "sources": ["DPP/OJ_L_202401781.pdf", "DPP/zibold.pdf"] }</w:t>
      </w:r>
    </w:p>
    <w:p>
      <w:pPr>
        <w:pStyle w:val="Heading3"/>
      </w:pPr>
      <w:r>
        <w:rPr>
          <w:color w:val="2E86C1"/>
          <w:sz w:val="24"/>
        </w:rPr>
        <w:t>POST /analyze-readiness</w:t>
      </w:r>
    </w:p>
    <w:p>
      <w:pPr>
        <w:spacing w:after="80"/>
      </w:pPr>
      <w:r>
        <w:t>Analysiert Compliance-Daten eines Unternehmens und erstellt einen Readiness-Score mit Aktionsplan.</w:t>
      </w:r>
    </w:p>
    <w:p>
      <w:pPr>
        <w:spacing w:after="80"/>
      </w:pPr>
      <w:r>
        <w:t>Request-Felder: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Beschreibung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company_name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Unternehmensname</w:t>
            </w:r>
          </w:p>
        </w:tc>
      </w:tr>
      <w:tr>
        <w:tc>
          <w:tcPr>
            <w:tcW w:type="dxa" w:w="2880"/>
          </w:tcPr>
          <w:p>
            <w:r>
              <w:t>sector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Branche</w:t>
            </w:r>
          </w:p>
        </w:tc>
      </w:tr>
      <w:tr>
        <w:tc>
          <w:tcPr>
            <w:tcW w:type="dxa" w:w="2880"/>
          </w:tcPr>
          <w:p>
            <w:r>
              <w:t>company_size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Mikro / Klein / Mittel / Groß</w:t>
            </w:r>
          </w:p>
        </w:tc>
      </w:tr>
      <w:tr>
        <w:tc>
          <w:tcPr>
            <w:tcW w:type="dxa" w:w="2880"/>
          </w:tcPr>
          <w:p>
            <w:r>
              <w:t>product_type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Produktbeschreibung</w:t>
            </w:r>
          </w:p>
        </w:tc>
      </w:tr>
      <w:tr>
        <w:tc>
          <w:tcPr>
            <w:tcW w:type="dxa" w:w="2880"/>
          </w:tcPr>
          <w:p>
            <w:r>
              <w:t>target_country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Zielland in der EU</w:t>
            </w:r>
          </w:p>
        </w:tc>
      </w:tr>
      <w:tr>
        <w:tc>
          <w:tcPr>
            <w:tcW w:type="dxa" w:w="2880"/>
          </w:tcPr>
          <w:p>
            <w:r>
              <w:t>compliance_eudr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EUDR-Sorgfaltspflicht erfüllt?</w:t>
            </w:r>
          </w:p>
        </w:tc>
      </w:tr>
      <w:tr>
        <w:tc>
          <w:tcPr>
            <w:tcW w:type="dxa" w:w="2880"/>
          </w:tcPr>
          <w:p>
            <w:r>
              <w:t>compliance_dpp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DPP vorhanden?</w:t>
            </w:r>
          </w:p>
        </w:tc>
      </w:tr>
      <w:tr>
        <w:tc>
          <w:tcPr>
            <w:tcW w:type="dxa" w:w="2880"/>
          </w:tcPr>
          <w:p>
            <w:r>
              <w:t>compliance_ce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CE-Kennzeichnung vorhanden?</w:t>
            </w:r>
          </w:p>
        </w:tc>
      </w:tr>
      <w:tr>
        <w:tc>
          <w:tcPr>
            <w:tcW w:type="dxa" w:w="2880"/>
          </w:tcPr>
          <w:p>
            <w:r>
              <w:t>compliance_esg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ESG-Berichterstattung?</w:t>
            </w:r>
          </w:p>
        </w:tc>
      </w:tr>
      <w:tr>
        <w:tc>
          <w:tcPr>
            <w:tcW w:type="dxa" w:w="2880"/>
          </w:tcPr>
          <w:p>
            <w:r>
              <w:t>compliance_origin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Ursprungsnachweis?</w:t>
            </w:r>
          </w:p>
        </w:tc>
      </w:tr>
      <w:tr>
        <w:tc>
          <w:tcPr>
            <w:tcW w:type="dxa" w:w="2880"/>
          </w:tcPr>
          <w:p>
            <w:r>
              <w:t>compliance_food_safety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Lebensmittelsicherheit?</w:t>
            </w:r>
          </w:p>
        </w:tc>
      </w:tr>
    </w:tbl>
    <w:p/>
    <w:p>
      <w:pPr>
        <w:spacing w:after="80"/>
      </w:pPr>
      <w:r>
        <w:t>Response-Felder: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Beschreibung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readiness_score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0–100, KI-gewichteter Score</w:t>
            </w:r>
          </w:p>
        </w:tc>
      </w:tr>
      <w:tr>
        <w:tc>
          <w:tcPr>
            <w:tcW w:type="dxa" w:w="2880"/>
          </w:tcPr>
          <w:p>
            <w:r>
              <w:t>risk_level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Niedrig / Mittel / Hoch</w:t>
            </w:r>
          </w:p>
        </w:tc>
      </w:tr>
      <w:tr>
        <w:tc>
          <w:tcPr>
            <w:tcW w:type="dxa" w:w="2880"/>
          </w:tcPr>
          <w:p>
            <w:r>
              <w:t>missing_requirements</w:t>
            </w:r>
          </w:p>
        </w:tc>
        <w:tc>
          <w:tcPr>
            <w:tcW w:type="dxa" w:w="2880"/>
          </w:tcPr>
          <w:p>
            <w:r>
              <w:t>list[string]</w:t>
            </w:r>
          </w:p>
        </w:tc>
        <w:tc>
          <w:tcPr>
            <w:tcW w:type="dxa" w:w="2880"/>
          </w:tcPr>
          <w:p>
            <w:r>
              <w:t>Fehlende Anforderungen</w:t>
            </w:r>
          </w:p>
        </w:tc>
      </w:tr>
      <w:tr>
        <w:tc>
          <w:tcPr>
            <w:tcW w:type="dxa" w:w="2880"/>
          </w:tcPr>
          <w:p>
            <w:r>
              <w:t>action_plan</w:t>
            </w:r>
          </w:p>
        </w:tc>
        <w:tc>
          <w:tcPr>
            <w:tcW w:type="dxa" w:w="2880"/>
          </w:tcPr>
          <w:p>
            <w:r>
              <w:t>list[string]</w:t>
            </w:r>
          </w:p>
        </w:tc>
        <w:tc>
          <w:tcPr>
            <w:tcW w:type="dxa" w:w="2880"/>
          </w:tcPr>
          <w:p>
            <w:r>
              <w:t>Priorisierter Aktionsplan (max. 6 Schritte)</w:t>
            </w:r>
          </w:p>
        </w:tc>
      </w:tr>
      <w:tr>
        <w:tc>
          <w:tcPr>
            <w:tcW w:type="dxa" w:w="2880"/>
          </w:tcPr>
          <w:p>
            <w:r>
              <w:t>analysis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Freitextanalyse durch KI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276"/>
          <w:sz w:val="40"/>
        </w:rPr>
        <w:t>4. RAG-System</w:t>
      </w:r>
    </w:p>
    <w:p>
      <w:pPr>
        <w:pStyle w:val="Heading2"/>
      </w:pPr>
      <w:r>
        <w:rPr>
          <w:color w:val="1A5276"/>
          <w:sz w:val="30"/>
        </w:rPr>
        <w:t>Funktionsweise</w:t>
      </w:r>
    </w:p>
    <w:p>
      <w:pPr>
        <w:spacing w:after="80"/>
      </w:pPr>
      <w:r>
        <w:t>RAG (Retrieval-Augmented Generation) kombiniert klassische Dokumentensuche mit KI-Textgenerierung. Anstatt nur auf das trainierte Wissen von GPT-4o-mini zu vertrauen, werden bei jeder Anfrage zuerst die relevantesten Textstellen aus den offiziellen EU-Rechtsdokumenten abgerufen und dem Modell als Kontext mitgegeben.</w:t>
      </w:r>
    </w:p>
    <w:p>
      <w:pPr>
        <w:pStyle w:val="Heading3"/>
      </w:pPr>
      <w:r>
        <w:rPr>
          <w:color w:val="2E86C1"/>
          <w:sz w:val="24"/>
        </w:rPr>
        <w:t>Ablauf – Einmalig (Dokumente indexieren)</w:t>
      </w:r>
    </w:p>
    <w:p>
      <w:pPr>
        <w:pStyle w:val="ListBullet"/>
        <w:ind w:left="360"/>
      </w:pPr>
      <w:r>
        <w:t>Alle PDFs aus backend/documents/ (inkl. Unterordner) werden geladen</w:t>
      </w:r>
    </w:p>
    <w:p>
      <w:pPr>
        <w:pStyle w:val="ListBullet"/>
        <w:ind w:left="360"/>
      </w:pPr>
      <w:r>
        <w:t>Jedes Dokument wird in Chunks aufgeteilt (1000 Zeichen, 200 Zeichen Überlappung)</w:t>
      </w:r>
    </w:p>
    <w:p>
      <w:pPr>
        <w:pStyle w:val="ListBullet"/>
        <w:ind w:left="360"/>
      </w:pPr>
      <w:r>
        <w:t>Jeder Chunk wird mit OpenAI text-embedding-3-small in einen Vektor (Zahlenreihe) umgewandelt</w:t>
      </w:r>
    </w:p>
    <w:p>
      <w:pPr>
        <w:pStyle w:val="ListBullet"/>
        <w:ind w:left="360"/>
      </w:pPr>
      <w:r>
        <w:t>Vektoren werden in ChromaDB auf der lokalen Festplatte gespeichert</w:t>
      </w:r>
    </w:p>
    <w:p>
      <w:pPr>
        <w:spacing w:after="80"/>
      </w:pPr>
      <w:r>
        <w:t>Befehl: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cd backend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venv/Scripts/python -m rag.ingest</w:t>
      </w:r>
    </w:p>
    <w:p>
      <w:pPr>
        <w:pStyle w:val="Heading3"/>
      </w:pPr>
      <w:r>
        <w:rPr>
          <w:color w:val="2E86C1"/>
          <w:sz w:val="24"/>
        </w:rPr>
        <w:t>Ablauf – Pro Nutzeranfrage</w:t>
      </w:r>
    </w:p>
    <w:p>
      <w:pPr>
        <w:pStyle w:val="ListBullet"/>
        <w:ind w:left="360"/>
      </w:pPr>
      <w:r>
        <w:t>Nutzerfrage wird ebenfalls in einen Vektor umgewandelt</w:t>
      </w:r>
    </w:p>
    <w:p>
      <w:pPr>
        <w:pStyle w:val="ListBullet"/>
        <w:ind w:left="360"/>
      </w:pPr>
      <w:r>
        <w:t>Die 5 ähnlichsten Dokument-Chunks werden aus ChromaDB abgerufen</w:t>
      </w:r>
    </w:p>
    <w:p>
      <w:pPr>
        <w:pStyle w:val="ListBullet"/>
        <w:ind w:left="360"/>
      </w:pPr>
      <w:r>
        <w:t>Prompt wird zusammengestellt: Systemrolle + abgerufene Chunks als Kontext + Frage</w:t>
      </w:r>
    </w:p>
    <w:p>
      <w:pPr>
        <w:pStyle w:val="ListBullet"/>
        <w:ind w:left="360"/>
      </w:pPr>
      <w:r>
        <w:t>GPT-4o-mini generiert eine Antwort basierend auf diesem Kontext</w:t>
      </w:r>
    </w:p>
    <w:p>
      <w:pPr>
        <w:pStyle w:val="ListBullet"/>
        <w:ind w:left="360"/>
      </w:pPr>
      <w:r>
        <w:t>Antwort + Quelldokumente werden zurückgegeben</w:t>
      </w:r>
    </w:p>
    <w:p>
      <w:pPr>
        <w:pStyle w:val="Heading2"/>
      </w:pPr>
      <w:r>
        <w:rPr>
          <w:color w:val="1A5276"/>
          <w:sz w:val="30"/>
        </w:rPr>
        <w:t>Systemrolle (System Prompt)</w:t>
      </w:r>
    </w:p>
    <w:p>
      <w:pPr>
        <w:spacing w:after="80"/>
      </w:pPr>
      <w:r>
        <w:t>Das KI-Modell wird als 'EU-Compliance-Experte für indonesische KMU-Exporteure' positioniert. Es wird angewiesen, Antworten ausschließlich auf Basis der bereitgestellten Quelldokumente zu geben, und in der Sprache des Nutzers zu antworten (Deutsch, Englisch oder Indonesisch).</w:t>
      </w:r>
    </w:p>
    <w:p>
      <w:pPr>
        <w:pStyle w:val="Heading2"/>
      </w:pPr>
      <w:r>
        <w:rPr>
          <w:color w:val="1A5276"/>
          <w:sz w:val="30"/>
        </w:rPr>
        <w:t>Konfiguration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Wert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Embedding-Modell</w:t>
            </w:r>
          </w:p>
        </w:tc>
        <w:tc>
          <w:tcPr>
            <w:tcW w:type="dxa" w:w="4320"/>
          </w:tcPr>
          <w:p>
            <w:r>
              <w:t>text-embedding-3-small</w:t>
            </w:r>
          </w:p>
        </w:tc>
      </w:tr>
      <w:tr>
        <w:tc>
          <w:tcPr>
            <w:tcW w:type="dxa" w:w="4320"/>
          </w:tcPr>
          <w:p>
            <w:r>
              <w:t>Chat-Modell</w:t>
            </w:r>
          </w:p>
        </w:tc>
        <w:tc>
          <w:tcPr>
            <w:tcW w:type="dxa" w:w="4320"/>
          </w:tcPr>
          <w:p>
            <w:r>
              <w:t>gpt-4o-mini</w:t>
            </w:r>
          </w:p>
        </w:tc>
      </w:tr>
      <w:tr>
        <w:tc>
          <w:tcPr>
            <w:tcW w:type="dxa" w:w="4320"/>
          </w:tcPr>
          <w:p>
            <w:r>
              <w:t>Chunk-Größe</w:t>
            </w:r>
          </w:p>
        </w:tc>
        <w:tc>
          <w:tcPr>
            <w:tcW w:type="dxa" w:w="4320"/>
          </w:tcPr>
          <w:p>
            <w:r>
              <w:t>1000 Zeichen</w:t>
            </w:r>
          </w:p>
        </w:tc>
      </w:tr>
      <w:tr>
        <w:tc>
          <w:tcPr>
            <w:tcW w:type="dxa" w:w="4320"/>
          </w:tcPr>
          <w:p>
            <w:r>
              <w:t>Chunk-Überlappung</w:t>
            </w:r>
          </w:p>
        </w:tc>
        <w:tc>
          <w:tcPr>
            <w:tcW w:type="dxa" w:w="4320"/>
          </w:tcPr>
          <w:p>
            <w:r>
              <w:t>200 Zeichen</w:t>
            </w:r>
          </w:p>
        </w:tc>
      </w:tr>
      <w:tr>
        <w:tc>
          <w:tcPr>
            <w:tcW w:type="dxa" w:w="4320"/>
          </w:tcPr>
          <w:p>
            <w:r>
              <w:t>Abgerufene Chunks (Top-K)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Temperatur (Kreativität)</w:t>
            </w:r>
          </w:p>
        </w:tc>
        <w:tc>
          <w:tcPr>
            <w:tcW w:type="dxa" w:w="4320"/>
          </w:tcPr>
          <w:p>
            <w:r>
              <w:t>0.2 (sehr deterministisch)</w:t>
            </w:r>
          </w:p>
        </w:tc>
      </w:tr>
      <w:tr>
        <w:tc>
          <w:tcPr>
            <w:tcW w:type="dxa" w:w="4320"/>
          </w:tcPr>
          <w:p>
            <w:r>
              <w:t>Vektordatenbank</w:t>
            </w:r>
          </w:p>
        </w:tc>
        <w:tc>
          <w:tcPr>
            <w:tcW w:type="dxa" w:w="4320"/>
          </w:tcPr>
          <w:p>
            <w:r>
              <w:t>ChromaDB, lokal unter backend/chroma_db/</w:t>
            </w:r>
          </w:p>
        </w:tc>
      </w:tr>
      <w:tr>
        <w:tc>
          <w:tcPr>
            <w:tcW w:type="dxa" w:w="4320"/>
          </w:tcPr>
          <w:p>
            <w:r>
              <w:t>Collection Name</w:t>
            </w:r>
          </w:p>
        </w:tc>
        <w:tc>
          <w:tcPr>
            <w:tcW w:type="dxa" w:w="4320"/>
          </w:tcPr>
          <w:p>
            <w:r>
              <w:t>eu_compliance_docs</w:t>
            </w:r>
          </w:p>
        </w:tc>
      </w:tr>
    </w:tbl>
    <w:p/>
    <w:p>
      <w:pPr>
        <w:pStyle w:val="Heading2"/>
      </w:pPr>
      <w:r>
        <w:rPr>
          <w:color w:val="1A5276"/>
          <w:sz w:val="30"/>
        </w:rPr>
        <w:t>Kosten (OpenAI API)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Vorgang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Modell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Kosten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Ingest (einmalig, alle PDFs)</w:t>
            </w:r>
          </w:p>
        </w:tc>
        <w:tc>
          <w:tcPr>
            <w:tcW w:type="dxa" w:w="2880"/>
          </w:tcPr>
          <w:p>
            <w:r>
              <w:t>text-embedding-3-small</w:t>
            </w:r>
          </w:p>
        </w:tc>
        <w:tc>
          <w:tcPr>
            <w:tcW w:type="dxa" w:w="2880"/>
          </w:tcPr>
          <w:p>
            <w:r>
              <w:t>~$0.07</w:t>
            </w:r>
          </w:p>
        </w:tc>
      </w:tr>
      <w:tr>
        <w:tc>
          <w:tcPr>
            <w:tcW w:type="dxa" w:w="2880"/>
          </w:tcPr>
          <w:p>
            <w:r>
              <w:t>Chat-Nachricht (Nutzer)</w:t>
            </w:r>
          </w:p>
        </w:tc>
        <w:tc>
          <w:tcPr>
            <w:tcW w:type="dxa" w:w="2880"/>
          </w:tcPr>
          <w:p>
            <w:r>
              <w:t>gpt-4o-mini</w:t>
            </w:r>
          </w:p>
        </w:tc>
        <w:tc>
          <w:tcPr>
            <w:tcW w:type="dxa" w:w="2880"/>
          </w:tcPr>
          <w:p>
            <w:r>
              <w:t>~$0.001 pro Nachricht</w:t>
            </w:r>
          </w:p>
        </w:tc>
      </w:tr>
      <w:tr>
        <w:tc>
          <w:tcPr>
            <w:tcW w:type="dxa" w:w="2880"/>
          </w:tcPr>
          <w:p>
            <w:r>
              <w:t>Readiness-Scan</w:t>
            </w:r>
          </w:p>
        </w:tc>
        <w:tc>
          <w:tcPr>
            <w:tcW w:type="dxa" w:w="2880"/>
          </w:tcPr>
          <w:p>
            <w:r>
              <w:t>gpt-4o-mini</w:t>
            </w:r>
          </w:p>
        </w:tc>
        <w:tc>
          <w:tcPr>
            <w:tcW w:type="dxa" w:w="2880"/>
          </w:tcPr>
          <w:p>
            <w:r>
              <w:t>~$0.001 pro Scan</w:t>
            </w:r>
          </w:p>
        </w:tc>
      </w:tr>
    </w:tbl>
    <w:p/>
    <w:p>
      <w:pPr>
        <w:pStyle w:val="Heading2"/>
      </w:pPr>
      <w:r>
        <w:rPr>
          <w:color w:val="1A5276"/>
          <w:sz w:val="30"/>
        </w:rPr>
        <w:t>Indexierte EU-Dokumente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Kategorie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Dokumente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IEU-CEPA</w:t>
            </w:r>
          </w:p>
        </w:tc>
        <w:tc>
          <w:tcPr>
            <w:tcW w:type="dxa" w:w="4320"/>
          </w:tcPr>
          <w:p>
            <w:r>
              <w:t>Kapitel 1–25 des EU-Indonesia Handelsabkommens</w:t>
            </w:r>
          </w:p>
        </w:tc>
      </w:tr>
      <w:tr>
        <w:tc>
          <w:tcPr>
            <w:tcW w:type="dxa" w:w="4320"/>
          </w:tcPr>
          <w:p>
            <w:r>
              <w:t>Umwelt &amp; Nachhaltigkeit</w:t>
            </w:r>
          </w:p>
        </w:tc>
        <w:tc>
          <w:tcPr>
            <w:tcW w:type="dxa" w:w="4320"/>
          </w:tcPr>
          <w:p>
            <w:r>
              <w:t>EUDR, DPP, ESPR, CSRD, CSDDD, PPWR</w:t>
            </w:r>
          </w:p>
        </w:tc>
      </w:tr>
      <w:tr>
        <w:tc>
          <w:tcPr>
            <w:tcW w:type="dxa" w:w="4320"/>
          </w:tcPr>
          <w:p>
            <w:r>
              <w:t>Chemikalien &amp; Materialien</w:t>
            </w:r>
          </w:p>
        </w:tc>
        <w:tc>
          <w:tcPr>
            <w:tcW w:type="dxa" w:w="4320"/>
          </w:tcPr>
          <w:p>
            <w:r>
              <w:t>REACH, RoHS, EU Battery Regulation</w:t>
            </w:r>
          </w:p>
        </w:tc>
      </w:tr>
      <w:tr>
        <w:tc>
          <w:tcPr>
            <w:tcW w:type="dxa" w:w="4320"/>
          </w:tcPr>
          <w:p>
            <w:r>
              <w:t>Lebensmittel</w:t>
            </w:r>
          </w:p>
        </w:tc>
        <w:tc>
          <w:tcPr>
            <w:tcW w:type="dxa" w:w="4320"/>
          </w:tcPr>
          <w:p>
            <w:r>
              <w:t>EU Food Safety Regulation (178/2002)</w:t>
            </w:r>
          </w:p>
        </w:tc>
      </w:tr>
      <w:tr>
        <w:tc>
          <w:tcPr>
            <w:tcW w:type="dxa" w:w="4320"/>
          </w:tcPr>
          <w:p>
            <w:r>
              <w:t>Digital &amp; Daten</w:t>
            </w:r>
          </w:p>
        </w:tc>
        <w:tc>
          <w:tcPr>
            <w:tcW w:type="dxa" w:w="4320"/>
          </w:tcPr>
          <w:p>
            <w:r>
              <w:t>GDPR, EU Digital Services Act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276"/>
          <w:sz w:val="40"/>
        </w:rPr>
        <w:t>5. Authentifizierung &amp; Datenschutz</w:t>
      </w:r>
    </w:p>
    <w:p>
      <w:pPr>
        <w:pStyle w:val="Heading2"/>
      </w:pPr>
      <w:r>
        <w:rPr>
          <w:color w:val="1A5276"/>
          <w:sz w:val="30"/>
        </w:rPr>
        <w:t>Aktuelle Implementierung (Prototyp)</w:t>
      </w:r>
    </w:p>
    <w:p>
      <w:pPr>
        <w:spacing w:after="80"/>
      </w:pPr>
      <w:r>
        <w:t>Die Authentifizierung ist vollständig lokal implementiert – es gibt keinen Authentifizierungsserver. Nutzerdaten (Name, E-Mail, Passwort-Hash) werden ausschließlich im AsyncStorage des Geräts gespeichert.</w:t>
      </w:r>
    </w:p>
    <w:p>
      <w:pPr>
        <w:pStyle w:val="ListBullet"/>
        <w:ind w:left="360"/>
      </w:pPr>
      <w:r>
        <w:t>Kein Passwort-Server: Login prüft nur ob die E-Mail bereits registriert ist</w:t>
      </w:r>
    </w:p>
    <w:p>
      <w:pPr>
        <w:pStyle w:val="ListBullet"/>
        <w:ind w:left="360"/>
      </w:pPr>
      <w:r>
        <w:t>Kein Passwort-Hash: Passwort wird nicht dauerhaft gespeichert</w:t>
      </w:r>
    </w:p>
    <w:p>
      <w:pPr>
        <w:pStyle w:val="ListBullet"/>
        <w:ind w:left="360"/>
      </w:pPr>
      <w:r>
        <w:t>Daten gehen verloren bei App-Deinstallation oder Cache-Leerung</w:t>
      </w:r>
    </w:p>
    <w:p>
      <w:pPr>
        <w:pStyle w:val="ListBullet"/>
        <w:ind w:left="360"/>
      </w:pPr>
      <w:r>
        <w:t>Geeignet für: Prototyp, Demos, persönliche Tests</w:t>
      </w:r>
    </w:p>
    <w:p>
      <w:pPr>
        <w:pStyle w:val="Heading2"/>
      </w:pPr>
      <w:r>
        <w:rPr>
          <w:color w:val="1A5276"/>
          <w:sz w:val="30"/>
        </w:rPr>
        <w:t>Produktionsreife Lösung (Ausblick)</w:t>
      </w:r>
    </w:p>
    <w:p>
      <w:pPr>
        <w:pStyle w:val="ListBullet"/>
        <w:ind w:left="360"/>
      </w:pPr>
      <w:r>
        <w:t>Server-seitige Authentifizierung mit JWT-Tokens</w:t>
      </w:r>
    </w:p>
    <w:p>
      <w:pPr>
        <w:pStyle w:val="ListBullet"/>
        <w:ind w:left="360"/>
      </w:pPr>
      <w:r>
        <w:t>Passwort-Hashing (bcrypt)</w:t>
      </w:r>
    </w:p>
    <w:p>
      <w:pPr>
        <w:pStyle w:val="ListBullet"/>
        <w:ind w:left="360"/>
      </w:pPr>
      <w:r>
        <w:t>Nutzerdaten in PostgreSQL-Datenbank</w:t>
      </w:r>
    </w:p>
    <w:p>
      <w:pPr>
        <w:pStyle w:val="ListBullet"/>
        <w:ind w:left="360"/>
      </w:pPr>
      <w:r>
        <w:t>HTTPS/TLS für alle API-Verbindungen</w:t>
      </w:r>
    </w:p>
    <w:p>
      <w:pPr>
        <w:pStyle w:val="ListBullet"/>
        <w:ind w:left="360"/>
      </w:pPr>
      <w:r>
        <w:t>Backend-Hosting auf Cloud-Server (z.B. Railway, Render, Fly.io)</w:t>
      </w:r>
    </w:p>
    <w:p>
      <w:pPr>
        <w:pStyle w:val="Heading2"/>
      </w:pPr>
      <w:r>
        <w:rPr>
          <w:color w:val="1A5276"/>
          <w:sz w:val="30"/>
        </w:rPr>
        <w:t>OpenAI API-Key Sicherheit</w:t>
      </w:r>
    </w:p>
    <w:p>
      <w:pPr>
        <w:spacing w:after="80"/>
      </w:pPr>
      <w:r>
        <w:t>Der API-Key wird als Windows-Systemvariable gespeichert (nicht in Dateien):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[System.Environment]::SetEnvironmentVariable("OPENAI_API_KEY", "sk-...", "User")</w:t>
      </w:r>
    </w:p>
    <w:p>
      <w:pPr>
        <w:pStyle w:val="ListBullet"/>
        <w:ind w:left="360"/>
      </w:pPr>
      <w:r>
        <w:t>Key liegt in der Windows-Registry, nicht im Projektordner</w:t>
      </w:r>
    </w:p>
    <w:p>
      <w:pPr>
        <w:pStyle w:val="ListBullet"/>
        <w:ind w:left="360"/>
      </w:pPr>
      <w:r>
        <w:t>Wird nie in Git eingecheckt</w:t>
      </w:r>
    </w:p>
    <w:p>
      <w:pPr>
        <w:pStyle w:val="ListBullet"/>
        <w:ind w:left="360"/>
      </w:pPr>
      <w:r>
        <w:t>Python liest ihn automatisch via os.getenv('OPENAI_API_KEY')</w:t>
      </w:r>
    </w:p>
    <w:p>
      <w:pPr>
        <w:pStyle w:val="ListBullet"/>
        <w:ind w:left="360"/>
      </w:pPr>
      <w:r>
        <w:t>Empfehlung: Monatliches Limit auf platform.openai.com setzen (z.B. $5)</w:t>
      </w:r>
    </w:p>
    <w:p>
      <w:r>
        <w:br w:type="page"/>
      </w:r>
    </w:p>
    <w:p>
      <w:pPr>
        <w:pStyle w:val="Heading1"/>
      </w:pPr>
      <w:r>
        <w:rPr>
          <w:color w:val="1A5276"/>
          <w:sz w:val="40"/>
        </w:rPr>
        <w:t>6. Setup &amp; Installation</w:t>
      </w:r>
    </w:p>
    <w:p>
      <w:pPr>
        <w:pStyle w:val="Heading2"/>
      </w:pPr>
      <w:r>
        <w:rPr>
          <w:color w:val="1A5276"/>
          <w:sz w:val="30"/>
        </w:rPr>
        <w:t>Voraussetzungen</w:t>
      </w:r>
    </w:p>
    <w:p>
      <w:pPr>
        <w:pStyle w:val="ListBullet"/>
        <w:ind w:left="360"/>
      </w:pPr>
      <w:r>
        <w:t>Node.js (v18+)</w:t>
      </w:r>
    </w:p>
    <w:p>
      <w:pPr>
        <w:pStyle w:val="ListBullet"/>
        <w:ind w:left="360"/>
      </w:pPr>
      <w:r>
        <w:t>Python 3.9+</w:t>
      </w:r>
    </w:p>
    <w:p>
      <w:pPr>
        <w:pStyle w:val="ListBullet"/>
        <w:ind w:left="360"/>
      </w:pPr>
      <w:r>
        <w:t>Expo Go App auf dem Handy (iOS App Store / Google Play)</w:t>
      </w:r>
    </w:p>
    <w:p>
      <w:pPr>
        <w:pStyle w:val="ListBullet"/>
        <w:ind w:left="360"/>
      </w:pPr>
      <w:r>
        <w:t>OpenAI API-Key (platform.openai.com)</w:t>
      </w:r>
    </w:p>
    <w:p>
      <w:pPr>
        <w:pStyle w:val="Heading2"/>
      </w:pPr>
      <w:r>
        <w:rPr>
          <w:color w:val="1A5276"/>
          <w:sz w:val="30"/>
        </w:rPr>
        <w:t>Backend Setup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cd backend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python -m venv venv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venv/Scripts/pip install -r requirements.txt</w:t>
      </w:r>
    </w:p>
    <w:p>
      <w:pPr>
        <w:spacing w:after="80"/>
      </w:pPr>
      <w:r>
        <w:t>OpenAI Key als Windows-Systemvariable setzen (PowerShell):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[System.Environment]::SetEnvironmentVariable("OPENAI_API_KEY", "sk-...", "User")</w:t>
      </w:r>
    </w:p>
    <w:p>
      <w:pPr>
        <w:spacing w:after="80"/>
      </w:pPr>
      <w:r>
        <w:t>PDFs in backend/documents/ ablegen, dann indexieren: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venv/Scripts/python -m rag.ingest</w:t>
      </w:r>
    </w:p>
    <w:p>
      <w:pPr>
        <w:spacing w:after="80"/>
      </w:pPr>
      <w:r>
        <w:t>Backend starten: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venv/Scripts/uvicorn main:app --reload --host 0.0.0.0</w:t>
      </w:r>
    </w:p>
    <w:p>
      <w:pPr>
        <w:pStyle w:val="Heading2"/>
      </w:pPr>
      <w:r>
        <w:rPr>
          <w:color w:val="1A5276"/>
          <w:sz w:val="30"/>
        </w:rPr>
        <w:t>Mobile App Setup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cd mobile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npm install</w:t>
      </w:r>
    </w:p>
    <w:p>
      <w:pPr>
        <w:spacing w:after="40"/>
        <w:ind w:left="576"/>
      </w:pPr>
      <w:r>
        <w:rPr>
          <w:rFonts w:ascii="Courier New" w:hAnsi="Courier New"/>
          <w:color w:val="C0392B"/>
          <w:sz w:val="18"/>
        </w:rPr>
        <w:t>npx expo start --clear</w:t>
      </w:r>
    </w:p>
    <w:p>
      <w:pPr>
        <w:spacing w:after="80"/>
      </w:pPr>
      <w:r>
        <w:t>QR-Code mit Expo Go App scannen. Handy und PC müssen im gleichen WLAN sein.</w:t>
      </w:r>
    </w:p>
    <w:p>
      <w:pPr>
        <w:spacing w:after="80"/>
      </w:pPr>
      <w:r>
        <w:t>Bei echtem Handy: IP des PCs in mobile/constants/api.ts eintragen.</w:t>
      </w:r>
    </w:p>
    <w:p>
      <w:pPr>
        <w:pStyle w:val="Heading2"/>
      </w:pPr>
      <w:r>
        <w:rPr>
          <w:color w:val="1A5276"/>
          <w:sz w:val="30"/>
        </w:rPr>
        <w:t>Bekannte Einschränkungen (Prototyp)</w:t>
      </w:r>
    </w:p>
    <w:p>
      <w:pPr>
        <w:pStyle w:val="ListBullet"/>
        <w:ind w:left="360"/>
      </w:pPr>
      <w:r>
        <w:t>localhost:8000 funktioniert nur auf Emulator, nicht auf echtem Handy</w:t>
      </w:r>
    </w:p>
    <w:p>
      <w:pPr>
        <w:pStyle w:val="ListBullet"/>
        <w:ind w:left="360"/>
      </w:pPr>
      <w:r>
        <w:t>Keine Offline-Nutzung der KI-Funktionen (Backend muss laufen)</w:t>
      </w:r>
    </w:p>
    <w:p>
      <w:pPr>
        <w:pStyle w:val="ListBullet"/>
        <w:ind w:left="360"/>
      </w:pPr>
      <w:r>
        <w:t>Kein Multi-User-System (jedes Gerät hat eigene lokale Daten)</w:t>
      </w:r>
    </w:p>
    <w:p>
      <w:pPr>
        <w:pStyle w:val="ListBullet"/>
        <w:ind w:left="360"/>
      </w:pPr>
      <w:r>
        <w:t>Learning Hub noch nicht implementiert</w:t>
      </w:r>
    </w:p>
    <w:p>
      <w:r>
        <w:br w:type="page"/>
      </w:r>
    </w:p>
    <w:p>
      <w:pPr>
        <w:pStyle w:val="Heading1"/>
      </w:pPr>
      <w:r>
        <w:rPr>
          <w:color w:val="1A5276"/>
          <w:sz w:val="40"/>
        </w:rPr>
        <w:t>7. Roadmap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Priorität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Aufwand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Beschreibung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Learning Hub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Video-Microlearning Module zu EU-Regularien</w:t>
            </w:r>
          </w:p>
        </w:tc>
      </w:tr>
      <w:tr>
        <w:tc>
          <w:tcPr>
            <w:tcW w:type="dxa" w:w="2160"/>
          </w:tcPr>
          <w:p>
            <w:r>
              <w:t>Echte Authentifizierung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Server-seitiges Auth mit JWT, PostgreSQL</w:t>
            </w:r>
          </w:p>
        </w:tc>
      </w:tr>
      <w:tr>
        <w:tc>
          <w:tcPr>
            <w:tcW w:type="dxa" w:w="2160"/>
          </w:tcPr>
          <w:p>
            <w:r>
              <w:t>Backend-Hosting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Gering</w:t>
            </w:r>
          </w:p>
        </w:tc>
        <w:tc>
          <w:tcPr>
            <w:tcW w:type="dxa" w:w="2160"/>
          </w:tcPr>
          <w:p>
            <w:r>
              <w:t>Deployment auf Railway / Render / Fly.io</w:t>
            </w:r>
          </w:p>
        </w:tc>
      </w:tr>
      <w:tr>
        <w:tc>
          <w:tcPr>
            <w:tcW w:type="dxa" w:w="2160"/>
          </w:tcPr>
          <w:p>
            <w:r>
              <w:t>Mehrsprachigkeit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Englisch + Bahasa Indonesia</w:t>
            </w:r>
          </w:p>
        </w:tc>
      </w:tr>
      <w:tr>
        <w:tc>
          <w:tcPr>
            <w:tcW w:type="dxa" w:w="2160"/>
          </w:tcPr>
          <w:p>
            <w:r>
              <w:t>Push-Benachrichtigungen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Gering</w:t>
            </w:r>
          </w:p>
        </w:tc>
        <w:tc>
          <w:tcPr>
            <w:tcW w:type="dxa" w:w="2160"/>
          </w:tcPr>
          <w:p>
            <w:r>
              <w:t>Erinnerungen für Aktionspunkte</w:t>
            </w:r>
          </w:p>
        </w:tc>
      </w:tr>
      <w:tr>
        <w:tc>
          <w:tcPr>
            <w:tcW w:type="dxa" w:w="2160"/>
          </w:tcPr>
          <w:p>
            <w:r>
              <w:t>Community Hub</w:t>
            </w:r>
          </w:p>
        </w:tc>
        <w:tc>
          <w:tcPr>
            <w:tcW w:type="dxa" w:w="2160"/>
          </w:tcPr>
          <w:p>
            <w:r>
              <w:t>Niedrig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Peer-to-Peer Austausch zwischen Exporteuren</w:t>
            </w:r>
          </w:p>
        </w:tc>
      </w:tr>
      <w:tr>
        <w:tc>
          <w:tcPr>
            <w:tcW w:type="dxa" w:w="2160"/>
          </w:tcPr>
          <w:p>
            <w:r>
              <w:t>Expert Matching</w:t>
            </w:r>
          </w:p>
        </w:tc>
        <w:tc>
          <w:tcPr>
            <w:tcW w:type="dxa" w:w="2160"/>
          </w:tcPr>
          <w:p>
            <w:r>
              <w:t>Niedrig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Verbindung mit Compliance-Experten</w:t>
            </w:r>
          </w:p>
        </w:tc>
      </w:tr>
      <w:tr>
        <w:tc>
          <w:tcPr>
            <w:tcW w:type="dxa" w:w="2160"/>
          </w:tcPr>
          <w:p>
            <w:r>
              <w:t>Dokumenten-Upload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Analyse eigener Unternehmensdokumente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