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 Quality Report</w:t>
      </w:r>
    </w:p>
    <w:p>
      <w:pPr>
        <w:spacing w:after="300"/>
      </w:pPr>
      <w:r>
        <w:rPr>
          <w:i/>
          <w:iCs/>
          <w:sz w:val="24"/>
          <w:szCs w:val="24"/>
        </w:rPr>
        <w:t xml:space="preserve">IBM HR Attrition Dataset (Augmented)</w:t>
      </w:r>
    </w:p>
    <w:p>
      <w:pPr>
        <w:pStyle w:val="Heading1"/>
        <w:spacing w:after="150" w:before="300"/>
      </w:pPr>
      <w:r>
        <w:t xml:space="preserve">1. Overview</w:t>
      </w:r>
    </w:p>
    <w:p>
      <w:pPr>
        <w:spacing w:after="120"/>
      </w:pPr>
      <w:r>
        <w:rPr>
          <w:sz w:val="22"/>
          <w:szCs w:val="22"/>
        </w:rPr>
        <w:t xml:space="preserve">This report documents the data quality assessment and cleaning process applied to the augmented IBM HR Attrition dataset. The raw dataset was inspected for missing values, duplicate records, type inconsistencies, and invalid values before being cleaned and enriched with derived features for downstream attrition analysis.</w:t>
      </w:r>
    </w:p>
    <w:p>
      <w:pPr>
        <w:pStyle w:val="Heading1"/>
        <w:spacing w:after="150" w:before="300"/>
      </w:pPr>
      <w:r>
        <w:t xml:space="preserve">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shd w:fill="1F4E78" w:val="clear"/>
          </w:tcPr>
          <w:p>
            <w:r>
              <w:rPr>
                <w:b/>
                <w:bCs/>
                <w:color w:val="FFFFFF"/>
                <w:sz w:val="20"/>
                <w:szCs w:val="20"/>
              </w:rPr>
              <w:t xml:space="preserve">Metric</w:t>
            </w:r>
          </w:p>
        </w:tc>
        <w:tc>
          <w:tcPr>
            <w:tcW w:type="dxa" w:w="2340"/>
            <w:shd w:fill="1F4E78" w:val="clear"/>
          </w:tcPr>
          <w:p>
            <w:r>
              <w:rPr>
                <w:b/>
                <w:bCs/>
                <w:color w:val="FFFFFF"/>
                <w:sz w:val="20"/>
                <w:szCs w:val="20"/>
              </w:rPr>
              <w:t xml:space="preserve">Before Cleaning</w:t>
            </w:r>
          </w:p>
        </w:tc>
        <w:tc>
          <w:tcPr>
            <w:tcW w:type="dxa" w:w="2340"/>
            <w:shd w:fill="1F4E78" w:val="clear"/>
          </w:tcPr>
          <w:p>
            <w:r>
              <w:rPr>
                <w:b/>
                <w:bCs/>
                <w:color w:val="FFFFFF"/>
                <w:sz w:val="20"/>
                <w:szCs w:val="20"/>
              </w:rPr>
              <w:t xml:space="preserve">After Cleaning</w:t>
            </w:r>
          </w:p>
        </w:tc>
      </w:tr>
      <w:tr>
        <w:tc>
          <w:tcPr>
            <w:tcW w:type="dxa" w:w="4680"/>
          </w:tcPr>
          <w:p>
            <w:r>
              <w:rPr>
                <w:b w:val="false"/>
                <w:bCs w:val="false"/>
                <w:sz w:val="20"/>
                <w:szCs w:val="20"/>
              </w:rPr>
              <w:t xml:space="preserve">Total rows</w:t>
            </w:r>
          </w:p>
        </w:tc>
        <w:tc>
          <w:tcPr>
            <w:tcW w:type="dxa" w:w="2340"/>
          </w:tcPr>
          <w:p>
            <w:r>
              <w:rPr>
                <w:b w:val="false"/>
                <w:bCs w:val="false"/>
                <w:sz w:val="20"/>
                <w:szCs w:val="20"/>
              </w:rPr>
              <w:t xml:space="preserve">920</w:t>
            </w:r>
          </w:p>
        </w:tc>
        <w:tc>
          <w:tcPr>
            <w:tcW w:type="dxa" w:w="2340"/>
          </w:tcPr>
          <w:p>
            <w:r>
              <w:rPr>
                <w:b w:val="false"/>
                <w:bCs w:val="false"/>
                <w:sz w:val="20"/>
                <w:szCs w:val="20"/>
              </w:rPr>
              <w:t xml:space="preserve">802</w:t>
            </w:r>
          </w:p>
        </w:tc>
      </w:tr>
      <w:tr>
        <w:tc>
          <w:tcPr>
            <w:tcW w:type="dxa" w:w="4680"/>
          </w:tcPr>
          <w:p>
            <w:r>
              <w:rPr>
                <w:b w:val="false"/>
                <w:bCs w:val="false"/>
                <w:sz w:val="20"/>
                <w:szCs w:val="20"/>
              </w:rPr>
              <w:t xml:space="preserve">Total columns</w:t>
            </w:r>
          </w:p>
        </w:tc>
        <w:tc>
          <w:tcPr>
            <w:tcW w:type="dxa" w:w="2340"/>
          </w:tcPr>
          <w:p>
            <w:r>
              <w:rPr>
                <w:b w:val="false"/>
                <w:bCs w:val="false"/>
                <w:sz w:val="20"/>
                <w:szCs w:val="20"/>
              </w:rPr>
              <w:t xml:space="preserve">10</w:t>
            </w:r>
          </w:p>
        </w:tc>
        <w:tc>
          <w:tcPr>
            <w:tcW w:type="dxa" w:w="2340"/>
          </w:tcPr>
          <w:p>
            <w:r>
              <w:rPr>
                <w:b w:val="false"/>
                <w:bCs w:val="false"/>
                <w:sz w:val="20"/>
                <w:szCs w:val="20"/>
              </w:rPr>
              <w:t xml:space="preserve">14</w:t>
            </w:r>
          </w:p>
        </w:tc>
      </w:tr>
      <w:tr>
        <w:tc>
          <w:tcPr>
            <w:tcW w:type="dxa" w:w="4680"/>
          </w:tcPr>
          <w:p>
            <w:r>
              <w:rPr>
                <w:b w:val="false"/>
                <w:bCs w:val="false"/>
                <w:sz w:val="20"/>
                <w:szCs w:val="20"/>
              </w:rPr>
              <w:t xml:space="preserve">Duplicate EmployeeIDs</w:t>
            </w:r>
          </w:p>
        </w:tc>
        <w:tc>
          <w:tcPr>
            <w:tcW w:type="dxa" w:w="2340"/>
          </w:tcPr>
          <w:p>
            <w:r>
              <w:rPr>
                <w:b w:val="false"/>
                <w:bCs w:val="false"/>
                <w:sz w:val="20"/>
                <w:szCs w:val="20"/>
              </w:rPr>
              <w:t xml:space="preserve">118</w:t>
            </w:r>
          </w:p>
        </w:tc>
        <w:tc>
          <w:tcPr>
            <w:tcW w:type="dxa" w:w="2340"/>
          </w:tcPr>
          <w:p>
            <w:r>
              <w:rPr>
                <w:b w:val="false"/>
                <w:bCs w:val="false"/>
                <w:sz w:val="20"/>
                <w:szCs w:val="20"/>
              </w:rPr>
              <w:t xml:space="preserve">0</w:t>
            </w:r>
          </w:p>
        </w:tc>
      </w:tr>
      <w:tr>
        <w:tc>
          <w:tcPr>
            <w:tcW w:type="dxa" w:w="4680"/>
          </w:tcPr>
          <w:p>
            <w:r>
              <w:rPr>
                <w:b w:val="false"/>
                <w:bCs w:val="false"/>
                <w:sz w:val="20"/>
                <w:szCs w:val="20"/>
              </w:rPr>
              <w:t xml:space="preserve">Rows with any missing value</w:t>
            </w:r>
          </w:p>
        </w:tc>
        <w:tc>
          <w:tcPr>
            <w:tcW w:type="dxa" w:w="2340"/>
          </w:tcPr>
          <w:p>
            <w:r>
              <w:rPr>
                <w:b w:val="false"/>
                <w:bCs w:val="false"/>
                <w:sz w:val="20"/>
                <w:szCs w:val="20"/>
              </w:rPr>
              <w:t xml:space="preserve">~44% of rows*</w:t>
            </w:r>
          </w:p>
        </w:tc>
        <w:tc>
          <w:tcPr>
            <w:tcW w:type="dxa" w:w="2340"/>
          </w:tcPr>
          <w:p>
            <w:r>
              <w:rPr>
                <w:b w:val="false"/>
                <w:bCs w:val="false"/>
                <w:sz w:val="20"/>
                <w:szCs w:val="20"/>
              </w:rPr>
              <w:t xml:space="preserve">0</w:t>
            </w:r>
          </w:p>
        </w:tc>
      </w:tr>
      <w:tr>
        <w:tc>
          <w:tcPr>
            <w:tcW w:type="dxa" w:w="4680"/>
          </w:tcPr>
          <w:p>
            <w:r>
              <w:rPr>
                <w:b w:val="false"/>
                <w:bCs w:val="false"/>
                <w:sz w:val="20"/>
                <w:szCs w:val="20"/>
              </w:rPr>
              <w:t xml:space="preserve">Negative/invalid numeric values</w:t>
            </w:r>
          </w:p>
        </w:tc>
        <w:tc>
          <w:tcPr>
            <w:tcW w:type="dxa" w:w="2340"/>
          </w:tcPr>
          <w:p>
            <w:r>
              <w:rPr>
                <w:b w:val="false"/>
                <w:bCs w:val="false"/>
                <w:sz w:val="20"/>
                <w:szCs w:val="20"/>
              </w:rPr>
              <w:t xml:space="preserve">0</w:t>
            </w:r>
          </w:p>
        </w:tc>
        <w:tc>
          <w:tcPr>
            <w:tcW w:type="dxa" w:w="2340"/>
          </w:tcPr>
          <w:p>
            <w:r>
              <w:rPr>
                <w:b w:val="false"/>
                <w:bCs w:val="false"/>
                <w:sz w:val="20"/>
                <w:szCs w:val="20"/>
              </w:rPr>
              <w:t xml:space="preserve">0</w:t>
            </w:r>
          </w:p>
        </w:tc>
      </w:tr>
    </w:tbl>
    <w:p>
      <w:pPr>
        <w:spacing w:after="200" w:before="100"/>
      </w:pPr>
      <w:r>
        <w:rPr>
          <w:i/>
          <w:iCs/>
          <w:sz w:val="16"/>
          <w:szCs w:val="16"/>
        </w:rPr>
        <w:t xml:space="preserve">*Based on per-column missing counts below; rows may overlap across columns.</w:t>
      </w:r>
    </w:p>
    <w:p>
      <w:pPr>
        <w:pStyle w:val="Heading1"/>
        <w:spacing w:after="150" w:before="300"/>
      </w:pPr>
      <w:r>
        <w:t xml:space="preserve">3. Issues Identified</w:t>
      </w:r>
    </w:p>
    <w:p>
      <w:pPr>
        <w:pStyle w:val="Heading2"/>
        <w:spacing w:after="120" w:before="240"/>
      </w:pPr>
      <w:r>
        <w:t xml:space="preserve">3.1 Duplicate Records</w:t>
      </w:r>
    </w:p>
    <w:p>
      <w:pPr>
        <w:spacing w:after="120"/>
      </w:pPr>
      <w:r>
        <w:rPr>
          <w:sz w:val="22"/>
          <w:szCs w:val="22"/>
        </w:rPr>
        <w:t xml:space="preserve">118 of 920 rows shared an EmployeeID with another row (802 unique IDs). Duplicates were treated as repeated entries of the same employee record.</w:t>
      </w:r>
    </w:p>
    <w:p>
      <w:pPr>
        <w:pStyle w:val="Heading2"/>
        <w:spacing w:after="120" w:before="240"/>
      </w:pPr>
      <w:r>
        <w:t xml:space="preserve">3.2 Missing Values</w:t>
      </w:r>
    </w:p>
    <w:p>
      <w:pPr>
        <w:spacing w:after="120"/>
      </w:pPr>
      <w:r>
        <w:rPr>
          <w:sz w:val="22"/>
          <w:szCs w:val="22"/>
        </w:rPr>
        <w:t xml:space="preserve">Eight of the ten original columns contained missing values, summarized below (counts from the raw file, before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shd w:fill="1F4E78" w:val="clear"/>
          </w:tcPr>
          <w:p>
            <w:r>
              <w:rPr>
                <w:b/>
                <w:bCs/>
                <w:color w:val="FFFFFF"/>
                <w:sz w:val="20"/>
                <w:szCs w:val="20"/>
              </w:rPr>
              <w:t xml:space="preserve">Column</w:t>
            </w:r>
          </w:p>
        </w:tc>
        <w:tc>
          <w:tcPr>
            <w:tcW w:type="dxa" w:w="3180"/>
            <w:shd w:fill="1F4E78" w:val="clear"/>
          </w:tcPr>
          <w:p>
            <w:r>
              <w:rPr>
                <w:b/>
                <w:bCs/>
                <w:color w:val="FFFFFF"/>
                <w:sz w:val="20"/>
                <w:szCs w:val="20"/>
              </w:rPr>
              <w:t xml:space="preserve">Missing (Raw)</w:t>
            </w:r>
          </w:p>
        </w:tc>
        <w:tc>
          <w:tcPr>
            <w:tcW w:type="dxa" w:w="3180"/>
            <w:shd w:fill="1F4E78" w:val="clear"/>
          </w:tcPr>
          <w:p>
            <w:r>
              <w:rPr>
                <w:b/>
                <w:bCs/>
                <w:color w:val="FFFFFF"/>
                <w:sz w:val="20"/>
                <w:szCs w:val="20"/>
              </w:rPr>
              <w:t xml:space="preserve">Missing (Cleaned)</w:t>
            </w:r>
          </w:p>
        </w:tc>
      </w:tr>
      <w:tr>
        <w:tc>
          <w:tcPr>
            <w:tcW w:type="dxa" w:w="3000"/>
          </w:tcPr>
          <w:p>
            <w:r>
              <w:rPr>
                <w:b w:val="false"/>
                <w:bCs w:val="false"/>
                <w:sz w:val="20"/>
                <w:szCs w:val="20"/>
              </w:rPr>
              <w:t xml:space="preserve">Age</w:t>
            </w:r>
          </w:p>
        </w:tc>
        <w:tc>
          <w:tcPr>
            <w:tcW w:type="dxa" w:w="3180"/>
          </w:tcPr>
          <w:p>
            <w:r>
              <w:rPr>
                <w:b w:val="false"/>
                <w:bCs w:val="false"/>
                <w:sz w:val="20"/>
                <w:szCs w:val="20"/>
              </w:rPr>
              <w:t xml:space="preserve">80</w:t>
            </w:r>
          </w:p>
        </w:tc>
        <w:tc>
          <w:tcPr>
            <w:tcW w:type="dxa" w:w="3180"/>
          </w:tcPr>
          <w:p>
            <w:r>
              <w:rPr>
                <w:b w:val="false"/>
                <w:bCs w:val="false"/>
                <w:sz w:val="20"/>
                <w:szCs w:val="20"/>
              </w:rPr>
              <w:t xml:space="preserve">0</w:t>
            </w:r>
          </w:p>
        </w:tc>
      </w:tr>
      <w:tr>
        <w:tc>
          <w:tcPr>
            <w:tcW w:type="dxa" w:w="3000"/>
          </w:tcPr>
          <w:p>
            <w:r>
              <w:rPr>
                <w:b w:val="false"/>
                <w:bCs w:val="false"/>
                <w:sz w:val="20"/>
                <w:szCs w:val="20"/>
              </w:rPr>
              <w:t xml:space="preserve">Gender</w:t>
            </w:r>
          </w:p>
        </w:tc>
        <w:tc>
          <w:tcPr>
            <w:tcW w:type="dxa" w:w="3180"/>
          </w:tcPr>
          <w:p>
            <w:r>
              <w:rPr>
                <w:b w:val="false"/>
                <w:bCs w:val="false"/>
                <w:sz w:val="20"/>
                <w:szCs w:val="20"/>
              </w:rPr>
              <w:t xml:space="preserve">86</w:t>
            </w:r>
          </w:p>
        </w:tc>
        <w:tc>
          <w:tcPr>
            <w:tcW w:type="dxa" w:w="3180"/>
          </w:tcPr>
          <w:p>
            <w:r>
              <w:rPr>
                <w:b w:val="false"/>
                <w:bCs w:val="false"/>
                <w:sz w:val="20"/>
                <w:szCs w:val="20"/>
              </w:rPr>
              <w:t xml:space="preserve">0</w:t>
            </w:r>
          </w:p>
        </w:tc>
      </w:tr>
      <w:tr>
        <w:tc>
          <w:tcPr>
            <w:tcW w:type="dxa" w:w="3000"/>
          </w:tcPr>
          <w:p>
            <w:r>
              <w:rPr>
                <w:b w:val="false"/>
                <w:bCs w:val="false"/>
                <w:sz w:val="20"/>
                <w:szCs w:val="20"/>
              </w:rPr>
              <w:t xml:space="preserve">Department</w:t>
            </w:r>
          </w:p>
        </w:tc>
        <w:tc>
          <w:tcPr>
            <w:tcW w:type="dxa" w:w="3180"/>
          </w:tcPr>
          <w:p>
            <w:r>
              <w:rPr>
                <w:b w:val="false"/>
                <w:bCs w:val="false"/>
                <w:sz w:val="20"/>
                <w:szCs w:val="20"/>
              </w:rPr>
              <w:t xml:space="preserve">77</w:t>
            </w:r>
          </w:p>
        </w:tc>
        <w:tc>
          <w:tcPr>
            <w:tcW w:type="dxa" w:w="3180"/>
          </w:tcPr>
          <w:p>
            <w:r>
              <w:rPr>
                <w:b w:val="false"/>
                <w:bCs w:val="false"/>
                <w:sz w:val="20"/>
                <w:szCs w:val="20"/>
              </w:rPr>
              <w:t xml:space="preserve">0</w:t>
            </w:r>
          </w:p>
        </w:tc>
      </w:tr>
      <w:tr>
        <w:tc>
          <w:tcPr>
            <w:tcW w:type="dxa" w:w="3000"/>
          </w:tcPr>
          <w:p>
            <w:r>
              <w:rPr>
                <w:b w:val="false"/>
                <w:bCs w:val="false"/>
                <w:sz w:val="20"/>
                <w:szCs w:val="20"/>
              </w:rPr>
              <w:t xml:space="preserve">JobRole</w:t>
            </w:r>
          </w:p>
        </w:tc>
        <w:tc>
          <w:tcPr>
            <w:tcW w:type="dxa" w:w="3180"/>
          </w:tcPr>
          <w:p>
            <w:r>
              <w:rPr>
                <w:b w:val="false"/>
                <w:bCs w:val="false"/>
                <w:sz w:val="20"/>
                <w:szCs w:val="20"/>
              </w:rPr>
              <w:t xml:space="preserve">55</w:t>
            </w:r>
          </w:p>
        </w:tc>
        <w:tc>
          <w:tcPr>
            <w:tcW w:type="dxa" w:w="3180"/>
          </w:tcPr>
          <w:p>
            <w:r>
              <w:rPr>
                <w:b w:val="false"/>
                <w:bCs w:val="false"/>
                <w:sz w:val="20"/>
                <w:szCs w:val="20"/>
              </w:rPr>
              <w:t xml:space="preserve">0</w:t>
            </w:r>
          </w:p>
        </w:tc>
      </w:tr>
      <w:tr>
        <w:tc>
          <w:tcPr>
            <w:tcW w:type="dxa" w:w="3000"/>
          </w:tcPr>
          <w:p>
            <w:r>
              <w:rPr>
                <w:b w:val="false"/>
                <w:bCs w:val="false"/>
                <w:sz w:val="20"/>
                <w:szCs w:val="20"/>
              </w:rPr>
              <w:t xml:space="preserve">MonthlyIncome</w:t>
            </w:r>
          </w:p>
        </w:tc>
        <w:tc>
          <w:tcPr>
            <w:tcW w:type="dxa" w:w="3180"/>
          </w:tcPr>
          <w:p>
            <w:r>
              <w:rPr>
                <w:b w:val="false"/>
                <w:bCs w:val="false"/>
                <w:sz w:val="20"/>
                <w:szCs w:val="20"/>
              </w:rPr>
              <w:t xml:space="preserve">85</w:t>
            </w:r>
          </w:p>
        </w:tc>
        <w:tc>
          <w:tcPr>
            <w:tcW w:type="dxa" w:w="3180"/>
          </w:tcPr>
          <w:p>
            <w:r>
              <w:rPr>
                <w:b w:val="false"/>
                <w:bCs w:val="false"/>
                <w:sz w:val="20"/>
                <w:szCs w:val="20"/>
              </w:rPr>
              <w:t xml:space="preserve">0</w:t>
            </w:r>
          </w:p>
        </w:tc>
      </w:tr>
      <w:tr>
        <w:tc>
          <w:tcPr>
            <w:tcW w:type="dxa" w:w="3000"/>
          </w:tcPr>
          <w:p>
            <w:r>
              <w:rPr>
                <w:b w:val="false"/>
                <w:bCs w:val="false"/>
                <w:sz w:val="20"/>
                <w:szCs w:val="20"/>
              </w:rPr>
              <w:t xml:space="preserve">YearsAtCompany</w:t>
            </w:r>
          </w:p>
        </w:tc>
        <w:tc>
          <w:tcPr>
            <w:tcW w:type="dxa" w:w="3180"/>
          </w:tcPr>
          <w:p>
            <w:r>
              <w:rPr>
                <w:b w:val="false"/>
                <w:bCs w:val="false"/>
                <w:sz w:val="20"/>
                <w:szCs w:val="20"/>
              </w:rPr>
              <w:t xml:space="preserve">68</w:t>
            </w:r>
          </w:p>
        </w:tc>
        <w:tc>
          <w:tcPr>
            <w:tcW w:type="dxa" w:w="3180"/>
          </w:tcPr>
          <w:p>
            <w:r>
              <w:rPr>
                <w:b w:val="false"/>
                <w:bCs w:val="false"/>
                <w:sz w:val="20"/>
                <w:szCs w:val="20"/>
              </w:rPr>
              <w:t xml:space="preserve">0</w:t>
            </w:r>
          </w:p>
        </w:tc>
      </w:tr>
      <w:tr>
        <w:tc>
          <w:tcPr>
            <w:tcW w:type="dxa" w:w="3000"/>
          </w:tcPr>
          <w:p>
            <w:r>
              <w:rPr>
                <w:b w:val="false"/>
                <w:bCs w:val="false"/>
                <w:sz w:val="20"/>
                <w:szCs w:val="20"/>
              </w:rPr>
              <w:t xml:space="preserve">JobSatisfaction</w:t>
            </w:r>
          </w:p>
        </w:tc>
        <w:tc>
          <w:tcPr>
            <w:tcW w:type="dxa" w:w="3180"/>
          </w:tcPr>
          <w:p>
            <w:r>
              <w:rPr>
                <w:b w:val="false"/>
                <w:bCs w:val="false"/>
                <w:sz w:val="20"/>
                <w:szCs w:val="20"/>
              </w:rPr>
              <w:t xml:space="preserve">77</w:t>
            </w:r>
          </w:p>
        </w:tc>
        <w:tc>
          <w:tcPr>
            <w:tcW w:type="dxa" w:w="3180"/>
          </w:tcPr>
          <w:p>
            <w:r>
              <w:rPr>
                <w:b w:val="false"/>
                <w:bCs w:val="false"/>
                <w:sz w:val="20"/>
                <w:szCs w:val="20"/>
              </w:rPr>
              <w:t xml:space="preserve">0</w:t>
            </w:r>
          </w:p>
        </w:tc>
      </w:tr>
      <w:tr>
        <w:tc>
          <w:tcPr>
            <w:tcW w:type="dxa" w:w="3000"/>
          </w:tcPr>
          <w:p>
            <w:r>
              <w:rPr>
                <w:b w:val="false"/>
                <w:bCs w:val="false"/>
                <w:sz w:val="20"/>
                <w:szCs w:val="20"/>
              </w:rPr>
              <w:t xml:space="preserve">OverTime</w:t>
            </w:r>
          </w:p>
        </w:tc>
        <w:tc>
          <w:tcPr>
            <w:tcW w:type="dxa" w:w="3180"/>
          </w:tcPr>
          <w:p>
            <w:r>
              <w:rPr>
                <w:b w:val="false"/>
                <w:bCs w:val="false"/>
                <w:sz w:val="20"/>
                <w:szCs w:val="20"/>
              </w:rPr>
              <w:t xml:space="preserve">72</w:t>
            </w:r>
          </w:p>
        </w:tc>
        <w:tc>
          <w:tcPr>
            <w:tcW w:type="dxa" w:w="3180"/>
          </w:tcPr>
          <w:p>
            <w:r>
              <w:rPr>
                <w:b w:val="false"/>
                <w:bCs w:val="false"/>
                <w:sz w:val="20"/>
                <w:szCs w:val="20"/>
              </w:rPr>
              <w:t xml:space="preserve">0</w:t>
            </w:r>
          </w:p>
        </w:tc>
      </w:tr>
    </w:tbl>
    <w:p>
      <w:pPr>
        <w:pStyle w:val="Heading2"/>
        <w:spacing w:after="120" w:before="240"/>
      </w:pPr>
      <w:r>
        <w:t xml:space="preserve">3.3 Type Inconsistency</w:t>
      </w:r>
    </w:p>
    <w:p>
      <w:pPr>
        <w:spacing w:after="120"/>
      </w:pPr>
      <w:r>
        <w:rPr>
          <w:sz w:val="22"/>
          <w:szCs w:val="22"/>
        </w:rPr>
        <w:t xml:space="preserve">MonthlyIncome was not reliably typed as numeric in the raw file, which would have caused errors or silent miscalculations in any downstream aggregation or modeling.</w:t>
      </w:r>
    </w:p>
    <w:p>
      <w:pPr>
        <w:pStyle w:val="Heading2"/>
        <w:spacing w:after="120" w:before="240"/>
      </w:pPr>
      <w:r>
        <w:t xml:space="preserve">3.4 Value Range Validation</w:t>
      </w:r>
    </w:p>
    <w:p>
      <w:pPr>
        <w:spacing w:after="120"/>
      </w:pPr>
      <w:r>
        <w:rPr>
          <w:sz w:val="22"/>
          <w:szCs w:val="22"/>
        </w:rPr>
        <w:t xml:space="preserve">Age, MonthlyIncome, and YearsAtCompany were checked for negative or otherwise invalid values. None were found.</w:t>
      </w:r>
    </w:p>
    <w:p>
      <w:pPr>
        <w:pStyle w:val="Heading1"/>
        <w:spacing w:after="150" w:before="300"/>
      </w:pPr>
      <w:r>
        <w:t xml:space="preserve">4. Cleaning Actions Taken</w:t>
      </w:r>
    </w:p>
    <w:p>
      <w:pPr>
        <w:pStyle w:val="ListParagraph"/>
        <w:numPr>
          <w:ilvl w:val="0"/>
          <w:numId w:val="1"/>
        </w:numPr>
        <w:spacing w:after="60"/>
      </w:pPr>
      <w:r>
        <w:t xml:space="preserve">Removed 118 duplicate EmployeeID rows, keeping the first occurrence of each.</w:t>
      </w:r>
    </w:p>
    <w:p>
      <w:pPr>
        <w:pStyle w:val="ListParagraph"/>
        <w:numPr>
          <w:ilvl w:val="0"/>
          <w:numId w:val="1"/>
        </w:numPr>
        <w:spacing w:after="60"/>
      </w:pPr>
      <w:r>
        <w:t xml:space="preserve">Coerced MonthlyIncome to a numeric type, converting invalid entries to missing (NaN) rather than dropping rows outright.</w:t>
      </w:r>
    </w:p>
    <w:p>
      <w:pPr>
        <w:pStyle w:val="ListParagraph"/>
        <w:numPr>
          <w:ilvl w:val="0"/>
          <w:numId w:val="1"/>
        </w:numPr>
        <w:spacing w:after="60"/>
      </w:pPr>
      <w:r>
        <w:t xml:space="preserve">Filled missing numeric values (Age, MonthlyIncome, YearsAtCompany, JobSatisfaction) with each column's median.</w:t>
      </w:r>
    </w:p>
    <w:p>
      <w:pPr>
        <w:pStyle w:val="ListParagraph"/>
        <w:numPr>
          <w:ilvl w:val="0"/>
          <w:numId w:val="1"/>
        </w:numPr>
        <w:spacing w:after="60"/>
      </w:pPr>
      <w:r>
        <w:t xml:space="preserve">Filled missing categorical values (Gender, Department, JobRole, OverTime) with each column's mode.</w:t>
      </w:r>
    </w:p>
    <w:p>
      <w:pPr>
        <w:pStyle w:val="ListParagraph"/>
        <w:numPr>
          <w:ilvl w:val="0"/>
          <w:numId w:val="1"/>
        </w:numPr>
        <w:spacing w:after="60"/>
      </w:pPr>
      <w:r>
        <w:t xml:space="preserve">Verified no negative or out-of-range values remained in key numeric columns.</w:t>
      </w:r>
    </w:p>
    <w:p>
      <w:pPr>
        <w:spacing w:after="120"/>
      </w:pPr>
      <w:r>
        <w:rPr>
          <w:sz w:val="22"/>
          <w:szCs w:val="22"/>
        </w:rPr>
        <w:t xml:space="preserve"/>
      </w:r>
    </w:p>
    <w:p>
      <w:pPr>
        <w:spacing w:after="120"/>
      </w:pPr>
      <w:r>
        <w:rPr>
          <w:sz w:val="22"/>
          <w:szCs w:val="22"/>
        </w:rPr>
        <w:t xml:space="preserve">Medians and modes were chosen over means/drop-rows to reduce sensitivity to outliers and avoid losing ~44% of rows to missing-value deletion.</w:t>
      </w:r>
    </w:p>
    <w:p>
      <w:pPr>
        <w:pStyle w:val="Heading1"/>
        <w:spacing w:after="150" w:before="300"/>
      </w:pPr>
      <w:r>
        <w:t xml:space="preserve">5. Feature Engineering</w:t>
      </w:r>
    </w:p>
    <w:p>
      <w:pPr>
        <w:spacing w:after="120"/>
      </w:pPr>
      <w:r>
        <w:rPr>
          <w:sz w:val="22"/>
          <w:szCs w:val="22"/>
        </w:rPr>
        <w:t xml:space="preserve">Four derived columns were added to support attrition analysis:</w:t>
      </w:r>
    </w:p>
    <w:p>
      <w:pPr>
        <w:pStyle w:val="ListParagraph"/>
        <w:numPr>
          <w:ilvl w:val="0"/>
          <w:numId w:val="1"/>
        </w:numPr>
        <w:spacing w:after="60"/>
      </w:pPr>
      <w:r>
        <w:t xml:space="preserve">AttriationFlag — binary encoding of Attrition (1 = Yes, 0 = No).</w:t>
      </w:r>
    </w:p>
    <w:p>
      <w:pPr>
        <w:pStyle w:val="ListParagraph"/>
        <w:numPr>
          <w:ilvl w:val="0"/>
          <w:numId w:val="1"/>
        </w:numPr>
        <w:spacing w:after="60"/>
      </w:pPr>
      <w:r>
        <w:t xml:space="preserve">TenureGroup — YearsAtCompany bucketed into 0-2 years, 2-5 years, 5+ years.</w:t>
      </w:r>
    </w:p>
    <w:p>
      <w:pPr>
        <w:pStyle w:val="ListParagraph"/>
        <w:numPr>
          <w:ilvl w:val="0"/>
          <w:numId w:val="1"/>
        </w:numPr>
        <w:spacing w:after="60"/>
      </w:pPr>
      <w:r>
        <w:t xml:space="preserve">IncomeGroup — MonthlyIncome split into Low / Medium / High terciles.</w:t>
      </w:r>
    </w:p>
    <w:p>
      <w:pPr>
        <w:pStyle w:val="ListParagraph"/>
        <w:numPr>
          <w:ilvl w:val="0"/>
          <w:numId w:val="1"/>
        </w:numPr>
        <w:spacing w:after="60"/>
      </w:pPr>
      <w:r>
        <w:t xml:space="preserve">EstimatedAttritionCost — 3x MonthlyIncome for employees who left, else 0, as a simple replacement-cost proxy.</w:t>
      </w:r>
    </w:p>
    <w:p>
      <w:pPr>
        <w:pStyle w:val="Heading1"/>
        <w:spacing w:after="150" w:before="300"/>
      </w:pPr>
      <w:r>
        <w:t xml:space="preserve">6. Final Output</w:t>
      </w:r>
    </w:p>
    <w:p>
      <w:pPr>
        <w:spacing w:after="120"/>
      </w:pPr>
      <w:r>
        <w:rPr>
          <w:sz w:val="22"/>
          <w:szCs w:val="22"/>
        </w:rPr>
        <w:t xml:space="preserve">The cleaned dataset (802 rows, 14 columns) was exported to hr_clean.csv with zero missing values, zero duplicate EmployeeIDs, and no invalid numeric values, ready for exploratory analysis and modeling.</w:t>
      </w:r>
    </w:p>
    <w:p>
      <w:pPr>
        <w:pStyle w:val="Heading1"/>
        <w:spacing w:after="150" w:before="300"/>
      </w:pPr>
      <w:r>
        <w:t xml:space="preserve">7. Assumptions &amp; Limitations</w:t>
      </w:r>
    </w:p>
    <w:p>
      <w:pPr>
        <w:pStyle w:val="ListParagraph"/>
        <w:numPr>
          <w:ilvl w:val="0"/>
          <w:numId w:val="1"/>
        </w:numPr>
        <w:spacing w:after="60"/>
      </w:pPr>
      <w:r>
        <w:t xml:space="preserve">Median/mode imputation preserves row count but can slightly understate variance in the imputed columns.</w:t>
      </w:r>
    </w:p>
    <w:p>
      <w:pPr>
        <w:pStyle w:val="ListParagraph"/>
        <w:numPr>
          <w:ilvl w:val="0"/>
          <w:numId w:val="1"/>
        </w:numPr>
        <w:spacing w:after="60"/>
      </w:pPr>
      <w:r>
        <w:t xml:space="preserve">IncomeGroup terciles are relative to this dataset and will shift if new data is added.</w:t>
      </w:r>
    </w:p>
    <w:p>
      <w:pPr>
        <w:pStyle w:val="ListParagraph"/>
        <w:numPr>
          <w:ilvl w:val="0"/>
          <w:numId w:val="1"/>
        </w:numPr>
        <w:spacing w:after="60"/>
      </w:pPr>
      <w:r>
        <w:t xml:space="preserve">EstimatedAttritionCost is a simplified 3x-monthly-salary heuristic, not a validated cost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2026-09-09T07:06:13.879Z</dcterms:created>
  <dcterms:modified xsi:type="dcterms:W3CDTF">2026-09-09T07:06:13.888Z</dcterms:modified>
</cp:coreProperties>
</file>

<file path=docProps/custom.xml><?xml version="1.0" encoding="utf-8"?>
<Properties xmlns="http://schemas.openxmlformats.org/officeDocument/2006/custom-properties" xmlns:vt="http://schemas.openxmlformats.org/officeDocument/2006/docPropsVTypes"/>
</file>