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HR Policy</w:t>
      </w:r>
    </w:p>
    <w:p>
      <w:pPr>
        <w:pStyle w:val="Heading2"/>
        <w:bidi w:val="0"/>
        <w:jc w:val="left"/>
        <w:rPr/>
      </w:pPr>
      <w:r>
        <w:rPr/>
        <w:t>1. Introduction</w:t>
      </w:r>
    </w:p>
    <w:p>
      <w:pPr>
        <w:pStyle w:val="TextBody"/>
        <w:bidi w:val="0"/>
        <w:jc w:val="left"/>
        <w:rPr/>
      </w:pPr>
      <w:r>
        <w:rPr/>
        <w:t>The Human Resources (HR) Policy outlines the principles, rules, and guidelines that govern the relationship between the organization and its employees. The purpose of this policy is to ensure a fair, safe, and productive work environment while supporting employee development and organizational success.</w:t>
      </w:r>
    </w:p>
    <w:p>
      <w:pPr>
        <w:pStyle w:val="TextBody"/>
        <w:bidi w:val="0"/>
        <w:jc w:val="left"/>
        <w:rPr/>
      </w:pPr>
      <w:r>
        <w:rPr/>
        <w:t>This document defines expectations for employee conduct, workplace standards, recruitment practices, and performance management. All employees are expected to read, understand, and comply with the policies described in this document.</w:t>
      </w:r>
    </w:p>
    <w:p>
      <w:pPr>
        <w:pStyle w:val="Heading2"/>
        <w:bidi w:val="0"/>
        <w:jc w:val="left"/>
        <w:rPr/>
      </w:pPr>
      <w:r>
        <w:rPr/>
        <w:t>2. Equal Employment Opportunity</w:t>
      </w:r>
    </w:p>
    <w:p>
      <w:pPr>
        <w:pStyle w:val="TextBody"/>
        <w:bidi w:val="0"/>
        <w:jc w:val="left"/>
        <w:rPr/>
      </w:pPr>
      <w:r>
        <w:rPr/>
        <w:t>The organization is committed to providing equal employment opportunities to all individuals regardless of race, gender, religion, nationality, disability, or age. Employment decisions such as hiring, promotion, compensation, and training will be based solely on merit, qualifications, and business needs.</w:t>
      </w:r>
    </w:p>
    <w:p>
      <w:pPr>
        <w:pStyle w:val="TextBody"/>
        <w:bidi w:val="0"/>
        <w:jc w:val="left"/>
        <w:rPr/>
      </w:pPr>
      <w:r>
        <w:rPr/>
        <w:t xml:space="preserve">Any form of discrimination or harassment in the workplace is strictly prohibited. Employees who experience or witness such behavior should report it to the HR department within </w:t>
      </w:r>
      <w:r>
        <w:rPr>
          <w:rStyle w:val="StrongEmphasis"/>
        </w:rPr>
        <w:t>5 working days</w:t>
      </w:r>
      <w:r>
        <w:rPr/>
        <w:t xml:space="preserve"> of the incident.</w:t>
      </w:r>
    </w:p>
    <w:p>
      <w:pPr>
        <w:pStyle w:val="TextBody"/>
        <w:bidi w:val="0"/>
        <w:jc w:val="left"/>
        <w:rPr/>
      </w:pPr>
      <w:r>
        <w:rPr/>
        <w:t xml:space="preserve">Confirmed violations may result in disciplinary action including suspension for </w:t>
      </w:r>
      <w:r>
        <w:rPr>
          <w:rStyle w:val="StrongEmphasis"/>
        </w:rPr>
        <w:t>up to 30 days</w:t>
      </w:r>
      <w:r>
        <w:rPr/>
        <w:t xml:space="preserve"> or termination of employment.</w:t>
      </w:r>
    </w:p>
    <w:p>
      <w:pPr>
        <w:pStyle w:val="Heading2"/>
        <w:bidi w:val="0"/>
        <w:jc w:val="left"/>
        <w:rPr/>
      </w:pPr>
      <w:r>
        <w:rPr/>
        <w:t>3. Recruitment and Onboarding</w:t>
      </w:r>
    </w:p>
    <w:p>
      <w:pPr>
        <w:pStyle w:val="TextBody"/>
        <w:bidi w:val="0"/>
        <w:jc w:val="left"/>
        <w:rPr/>
      </w:pPr>
      <w:r>
        <w:rPr/>
        <w:t>The recruitment process aims to attract qualified candidates who align with the organization's values and culture. The standard hiring process includes:</w:t>
      </w:r>
    </w:p>
    <w:p>
      <w:pPr>
        <w:pStyle w:val="TextBody"/>
        <w:numPr>
          <w:ilvl w:val="0"/>
          <w:numId w:val="1"/>
        </w:numPr>
        <w:tabs>
          <w:tab w:val="clear" w:pos="709"/>
          <w:tab w:val="left" w:pos="709" w:leader="none"/>
        </w:tabs>
        <w:bidi w:val="0"/>
        <w:ind w:left="709" w:hanging="283"/>
        <w:jc w:val="left"/>
        <w:rPr/>
      </w:pPr>
      <w:r>
        <w:rPr/>
        <w:t>Resume screening</w:t>
      </w:r>
    </w:p>
    <w:p>
      <w:pPr>
        <w:pStyle w:val="TextBody"/>
        <w:numPr>
          <w:ilvl w:val="0"/>
          <w:numId w:val="1"/>
        </w:numPr>
        <w:tabs>
          <w:tab w:val="clear" w:pos="709"/>
          <w:tab w:val="left" w:pos="709" w:leader="none"/>
        </w:tabs>
        <w:bidi w:val="0"/>
        <w:ind w:left="709" w:hanging="283"/>
        <w:jc w:val="left"/>
        <w:rPr/>
      </w:pPr>
      <w:r>
        <w:rPr/>
        <w:t>Two technical interview rounds</w:t>
      </w:r>
    </w:p>
    <w:p>
      <w:pPr>
        <w:pStyle w:val="TextBody"/>
        <w:numPr>
          <w:ilvl w:val="0"/>
          <w:numId w:val="1"/>
        </w:numPr>
        <w:tabs>
          <w:tab w:val="clear" w:pos="709"/>
          <w:tab w:val="left" w:pos="709" w:leader="none"/>
        </w:tabs>
        <w:bidi w:val="0"/>
        <w:ind w:left="709" w:hanging="283"/>
        <w:jc w:val="left"/>
        <w:rPr/>
      </w:pPr>
      <w:r>
        <w:rPr/>
        <w:t>One HR interview</w:t>
      </w:r>
    </w:p>
    <w:p>
      <w:pPr>
        <w:pStyle w:val="TextBody"/>
        <w:bidi w:val="0"/>
        <w:jc w:val="left"/>
        <w:rPr/>
      </w:pPr>
      <w:r>
        <w:rPr/>
        <w:t xml:space="preserve">The typical recruitment cycle takes </w:t>
      </w:r>
      <w:r>
        <w:rPr>
          <w:rStyle w:val="StrongEmphasis"/>
        </w:rPr>
        <w:t>2–4 weeks</w:t>
      </w:r>
      <w:r>
        <w:rPr/>
        <w:t xml:space="preserve"> from application to offer.</w:t>
      </w:r>
    </w:p>
    <w:p>
      <w:pPr>
        <w:pStyle w:val="TextBody"/>
        <w:bidi w:val="0"/>
        <w:jc w:val="left"/>
        <w:rPr/>
      </w:pPr>
      <w:r>
        <w:rPr/>
        <w:t xml:space="preserve">New employees undergo an onboarding process lasting </w:t>
      </w:r>
      <w:r>
        <w:rPr>
          <w:rStyle w:val="StrongEmphasis"/>
        </w:rPr>
        <w:t>5 working days</w:t>
      </w:r>
      <w:r>
        <w:rPr/>
        <w:t>, which includes policy orientation, system access setup, and role-specific training.</w:t>
      </w:r>
    </w:p>
    <w:p>
      <w:pPr>
        <w:pStyle w:val="TextBody"/>
        <w:bidi w:val="0"/>
        <w:jc w:val="left"/>
        <w:rPr/>
      </w:pPr>
      <w:r>
        <w:rPr/>
        <w:t xml:space="preserve">Employees are generally placed under a </w:t>
      </w:r>
      <w:r>
        <w:rPr>
          <w:rStyle w:val="StrongEmphasis"/>
        </w:rPr>
        <w:t>6-month probation period</w:t>
      </w:r>
      <w:r>
        <w:rPr/>
        <w:t xml:space="preserve">. Performance during probation is evaluated at the </w:t>
      </w:r>
      <w:r>
        <w:rPr>
          <w:rStyle w:val="StrongEmphasis"/>
        </w:rPr>
        <w:t>3rd and 6th month</w:t>
      </w:r>
      <w:r>
        <w:rPr/>
        <w:t>.</w:t>
      </w:r>
    </w:p>
    <w:p>
      <w:pPr>
        <w:pStyle w:val="Heading2"/>
        <w:bidi w:val="0"/>
        <w:jc w:val="left"/>
        <w:rPr/>
      </w:pPr>
      <w:r>
        <w:rPr/>
        <w:t>4. Code of Conduct</w:t>
      </w:r>
    </w:p>
    <w:p>
      <w:pPr>
        <w:pStyle w:val="TextBody"/>
        <w:bidi w:val="0"/>
        <w:jc w:val="left"/>
        <w:rPr/>
      </w:pPr>
      <w:r>
        <w:rPr/>
        <w:t>Employees are expected to maintain professional behavior while interacting with colleagues, clients, and partners. This includes maintaining integrity, respecting diversity, protecting confidential information, and following company policies.</w:t>
      </w:r>
    </w:p>
    <w:p>
      <w:pPr>
        <w:pStyle w:val="TextBody"/>
        <w:bidi w:val="0"/>
        <w:jc w:val="left"/>
        <w:rPr/>
      </w:pPr>
      <w:r>
        <w:rPr/>
        <w:t>Use of company resources such as laptops, email systems, and internal applications must be strictly for business purposes.</w:t>
      </w:r>
    </w:p>
    <w:p>
      <w:pPr>
        <w:pStyle w:val="TextBody"/>
        <w:bidi w:val="0"/>
        <w:jc w:val="left"/>
        <w:rPr/>
      </w:pPr>
      <w:r>
        <w:rPr/>
        <w:t>Violation of the code of conduct may result in disciplinary measures including:</w:t>
      </w:r>
    </w:p>
    <w:p>
      <w:pPr>
        <w:pStyle w:val="TextBody"/>
        <w:numPr>
          <w:ilvl w:val="0"/>
          <w:numId w:val="2"/>
        </w:numPr>
        <w:tabs>
          <w:tab w:val="clear" w:pos="709"/>
          <w:tab w:val="left" w:pos="709" w:leader="none"/>
        </w:tabs>
        <w:bidi w:val="0"/>
        <w:ind w:left="709" w:hanging="283"/>
        <w:jc w:val="left"/>
        <w:rPr/>
      </w:pPr>
      <w:r>
        <w:rPr/>
        <w:t>Written warning (1st violation)</w:t>
      </w:r>
    </w:p>
    <w:p>
      <w:pPr>
        <w:pStyle w:val="TextBody"/>
        <w:numPr>
          <w:ilvl w:val="0"/>
          <w:numId w:val="2"/>
        </w:numPr>
        <w:tabs>
          <w:tab w:val="clear" w:pos="709"/>
          <w:tab w:val="left" w:pos="709" w:leader="none"/>
        </w:tabs>
        <w:bidi w:val="0"/>
        <w:ind w:left="709" w:hanging="283"/>
        <w:jc w:val="left"/>
        <w:rPr/>
      </w:pPr>
      <w:r>
        <w:rPr/>
        <w:t>Final warning (2nd violation)</w:t>
      </w:r>
    </w:p>
    <w:p>
      <w:pPr>
        <w:pStyle w:val="TextBody"/>
        <w:numPr>
          <w:ilvl w:val="0"/>
          <w:numId w:val="2"/>
        </w:numPr>
        <w:tabs>
          <w:tab w:val="clear" w:pos="709"/>
          <w:tab w:val="left" w:pos="709" w:leader="none"/>
        </w:tabs>
        <w:bidi w:val="0"/>
        <w:ind w:left="709" w:hanging="283"/>
        <w:jc w:val="left"/>
        <w:rPr/>
      </w:pPr>
      <w:r>
        <w:rPr/>
        <w:t>Termination (3rd violation)</w:t>
      </w:r>
    </w:p>
    <w:p>
      <w:pPr>
        <w:pStyle w:val="Heading2"/>
        <w:bidi w:val="0"/>
        <w:jc w:val="left"/>
        <w:rPr/>
      </w:pPr>
      <w:r>
        <w:rPr/>
        <w:t>5. Performance Management</w:t>
      </w:r>
    </w:p>
    <w:p>
      <w:pPr>
        <w:pStyle w:val="TextBody"/>
        <w:bidi w:val="0"/>
        <w:jc w:val="left"/>
        <w:rPr/>
      </w:pPr>
      <w:r>
        <w:rPr/>
        <w:t xml:space="preserve">The organization conducts </w:t>
      </w:r>
      <w:r>
        <w:rPr>
          <w:rStyle w:val="StrongEmphasis"/>
        </w:rPr>
        <w:t>two performance reviews per year</w:t>
      </w:r>
      <w:r>
        <w:rPr/>
        <w:t xml:space="preserve">, typically in </w:t>
      </w:r>
      <w:r>
        <w:rPr>
          <w:rStyle w:val="StrongEmphasis"/>
        </w:rPr>
        <w:t>June and December</w:t>
      </w:r>
      <w:r>
        <w:rPr/>
        <w:t>.</w:t>
      </w:r>
    </w:p>
    <w:p>
      <w:pPr>
        <w:pStyle w:val="TextBody"/>
        <w:bidi w:val="0"/>
        <w:jc w:val="left"/>
        <w:rPr/>
      </w:pPr>
      <w:r>
        <w:rPr/>
        <w:t>Performance is evaluated based on:</w:t>
      </w:r>
    </w:p>
    <w:p>
      <w:pPr>
        <w:pStyle w:val="TextBody"/>
        <w:numPr>
          <w:ilvl w:val="0"/>
          <w:numId w:val="3"/>
        </w:numPr>
        <w:tabs>
          <w:tab w:val="clear" w:pos="709"/>
          <w:tab w:val="left" w:pos="709" w:leader="none"/>
        </w:tabs>
        <w:bidi w:val="0"/>
        <w:ind w:left="709" w:hanging="283"/>
        <w:jc w:val="left"/>
        <w:rPr/>
      </w:pPr>
      <w:r>
        <w:rPr/>
        <w:t>Individual goals (40%)</w:t>
      </w:r>
    </w:p>
    <w:p>
      <w:pPr>
        <w:pStyle w:val="TextBody"/>
        <w:numPr>
          <w:ilvl w:val="0"/>
          <w:numId w:val="3"/>
        </w:numPr>
        <w:tabs>
          <w:tab w:val="clear" w:pos="709"/>
          <w:tab w:val="left" w:pos="709" w:leader="none"/>
        </w:tabs>
        <w:bidi w:val="0"/>
        <w:ind w:left="709" w:hanging="283"/>
        <w:jc w:val="left"/>
        <w:rPr/>
      </w:pPr>
      <w:r>
        <w:rPr/>
        <w:t>Team collaboration (30%)</w:t>
      </w:r>
    </w:p>
    <w:p>
      <w:pPr>
        <w:pStyle w:val="TextBody"/>
        <w:numPr>
          <w:ilvl w:val="0"/>
          <w:numId w:val="3"/>
        </w:numPr>
        <w:tabs>
          <w:tab w:val="clear" w:pos="709"/>
          <w:tab w:val="left" w:pos="709" w:leader="none"/>
        </w:tabs>
        <w:bidi w:val="0"/>
        <w:ind w:left="709" w:hanging="283"/>
        <w:jc w:val="left"/>
        <w:rPr/>
      </w:pPr>
      <w:r>
        <w:rPr/>
        <w:t>Quality of work (20%)</w:t>
      </w:r>
    </w:p>
    <w:p>
      <w:pPr>
        <w:pStyle w:val="TextBody"/>
        <w:numPr>
          <w:ilvl w:val="0"/>
          <w:numId w:val="3"/>
        </w:numPr>
        <w:tabs>
          <w:tab w:val="clear" w:pos="709"/>
          <w:tab w:val="left" w:pos="709" w:leader="none"/>
        </w:tabs>
        <w:bidi w:val="0"/>
        <w:ind w:left="709" w:hanging="283"/>
        <w:jc w:val="left"/>
        <w:rPr/>
      </w:pPr>
      <w:r>
        <w:rPr/>
        <w:t>Professional behavior (10%)</w:t>
      </w:r>
    </w:p>
    <w:p>
      <w:pPr>
        <w:pStyle w:val="TextBody"/>
        <w:bidi w:val="0"/>
        <w:jc w:val="left"/>
        <w:rPr/>
      </w:pPr>
      <w:r>
        <w:rPr/>
        <w:t xml:space="preserve">Salary increments typically range between </w:t>
      </w:r>
      <w:r>
        <w:rPr>
          <w:rStyle w:val="StrongEmphasis"/>
        </w:rPr>
        <w:t>5% and 12% annually</w:t>
      </w:r>
      <w:r>
        <w:rPr/>
        <w:t>, depending on performance and business results.</w:t>
      </w:r>
    </w:p>
    <w:p>
      <w:pPr>
        <w:pStyle w:val="TextBody"/>
        <w:bidi w:val="0"/>
        <w:jc w:val="left"/>
        <w:rPr/>
      </w:pPr>
      <w:r>
        <w:rPr/>
        <w:t xml:space="preserve">Employees rated in the top </w:t>
      </w:r>
      <w:r>
        <w:rPr>
          <w:rStyle w:val="StrongEmphasis"/>
        </w:rPr>
        <w:t>10% performance bracket</w:t>
      </w:r>
      <w:r>
        <w:rPr/>
        <w:t xml:space="preserve"> may also be eligible for performance bonuses.</w:t>
      </w:r>
    </w:p>
    <w:p>
      <w:pPr>
        <w:pStyle w:val="Heading2"/>
        <w:bidi w:val="0"/>
        <w:jc w:val="left"/>
        <w:rPr/>
      </w:pPr>
      <w:r>
        <w:rPr/>
        <w:t>6. Training and Development</w:t>
      </w:r>
    </w:p>
    <w:p>
      <w:pPr>
        <w:pStyle w:val="TextBody"/>
        <w:bidi w:val="0"/>
        <w:jc w:val="left"/>
        <w:rPr/>
      </w:pPr>
      <w:r>
        <w:rPr/>
        <w:t xml:space="preserve">The company encourages employees to complete at least </w:t>
      </w:r>
      <w:r>
        <w:rPr>
          <w:rStyle w:val="StrongEmphasis"/>
        </w:rPr>
        <w:t>20 hours of training per year</w:t>
      </w:r>
      <w:r>
        <w:rPr/>
        <w:t>.</w:t>
      </w:r>
    </w:p>
    <w:p>
      <w:pPr>
        <w:pStyle w:val="TextBody"/>
        <w:bidi w:val="0"/>
        <w:jc w:val="left"/>
        <w:rPr/>
      </w:pPr>
      <w:r>
        <w:rPr/>
        <w:t xml:space="preserve">Employees may also apply for reimbursement of professional certification courses up to </w:t>
      </w:r>
      <w:r>
        <w:rPr>
          <w:rStyle w:val="StrongEmphasis"/>
        </w:rPr>
        <w:t>₹50,000 per year</w:t>
      </w:r>
      <w:r>
        <w:rPr/>
        <w:t>, subject to management approval.</w:t>
      </w:r>
    </w:p>
    <w:p>
      <w:pPr>
        <w:pStyle w:val="Heading2"/>
        <w:bidi w:val="0"/>
        <w:jc w:val="left"/>
        <w:rPr/>
      </w:pPr>
      <w:r>
        <w:rPr/>
        <w:t>7. Workplace Safety</w:t>
      </w:r>
    </w:p>
    <w:p>
      <w:pPr>
        <w:pStyle w:val="TextBody"/>
        <w:bidi w:val="0"/>
        <w:jc w:val="left"/>
        <w:rPr/>
      </w:pPr>
      <w:r>
        <w:rPr/>
        <w:t>The organization is committed to maintaining a safe and healthy working environment. Employees must follow workplace safety procedures and report hazards immediately.</w:t>
      </w:r>
    </w:p>
    <w:p>
      <w:pPr>
        <w:pStyle w:val="TextBody"/>
        <w:bidi w:val="0"/>
        <w:jc w:val="left"/>
        <w:rPr/>
      </w:pPr>
      <w:r>
        <w:rPr/>
        <w:t xml:space="preserve">All workplace incidents must be reported within </w:t>
      </w:r>
      <w:r>
        <w:rPr>
          <w:rStyle w:val="StrongEmphasis"/>
        </w:rPr>
        <w:t>24 hours</w:t>
      </w:r>
      <w:r>
        <w:rPr/>
        <w:t xml:space="preserve">. Emergency response drills are conducted </w:t>
      </w:r>
      <w:r>
        <w:rPr>
          <w:rStyle w:val="StrongEmphasis"/>
        </w:rPr>
        <w:t>twice per year</w:t>
      </w:r>
      <w:r>
        <w:rPr/>
        <w:t xml:space="preserve"> to ensure preparedness.</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Arial"/>
      <w:b/>
      <w:bCs/>
      <w:sz w:val="36"/>
      <w:szCs w:val="36"/>
    </w:rPr>
  </w:style>
  <w:style w:type="character" w:styleId="StrongEmphasis">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LibreOffice/7.5.9.2$Windows_X86_64 LibreOffice_project/cdeefe45c17511d326101eed8008ac4092f278a9</Application>
  <AppVersion>15.0000</AppVersion>
  <Pages>2</Pages>
  <Words>486</Words>
  <Characters>2963</Characters>
  <CharactersWithSpaces>3400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2026-03-12T12:45:01Z</dcterms:created>
  <dc:creator/>
  <dc:description/>
  <dc:language>en-US</dc:language>
  <cp:lastModifiedBy/>
  <dcterms:modified xsi:type="dcterms:W3CDTF">2026-03-12T12:47:45Z</dcterms:modified>
  <cp:revision>1</cp:revision>
  <dc:subject/>
  <dc:title/>
</cp:coreProperties>
</file>