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40" w:before="40"/>
        <w:jc w:val="center"/>
      </w:pPr>
      <w:r>
        <w:rPr>
          <w:rFonts w:ascii="Times New Roman" w:cs="Times New Roman" w:eastAsia="Times New Roman" w:hAnsi="Times New Roman"/>
          <w:b/>
          <w:bCs/>
          <w:color w:val="000000"/>
          <w:sz w:val="30"/>
          <w:szCs w:val="30"/>
        </w:rPr>
        <w:t xml:space="preserve">State-of-the-Art in Intelligent Document Processing,</w:t>
      </w:r>
    </w:p>
    <w:p>
      <w:pPr>
        <w:spacing w:after="40" w:before="40"/>
        <w:jc w:val="center"/>
      </w:pPr>
      <w:r>
        <w:rPr>
          <w:rFonts w:ascii="Times New Roman" w:cs="Times New Roman" w:eastAsia="Times New Roman" w:hAnsi="Times New Roman"/>
          <w:b/>
          <w:bCs/>
          <w:color w:val="000000"/>
          <w:sz w:val="30"/>
          <w:szCs w:val="30"/>
        </w:rPr>
        <w:t xml:space="preserve">Layout Analysis, and Retrieval-Augmented Generation:</w:t>
      </w:r>
    </w:p>
    <w:p>
      <w:pPr>
        <w:spacing w:after="40" w:before="40"/>
        <w:jc w:val="center"/>
      </w:pPr>
      <w:r>
        <w:rPr>
          <w:rFonts w:ascii="Times New Roman" w:cs="Times New Roman" w:eastAsia="Times New Roman" w:hAnsi="Times New Roman"/>
          <w:b/>
          <w:bCs/>
          <w:color w:val="000000"/>
          <w:sz w:val="30"/>
          <w:szCs w:val="30"/>
        </w:rPr>
        <w:t xml:space="preserve">A Literature Survey</w:t>
      </w:r>
    </w:p>
    <w:p>
      <w:pPr>
        <w:spacing w:after="80" w:before="0"/>
      </w:pPr>
    </w:p>
    <w:p>
      <w:pPr>
        <w:spacing w:after="20" w:before="20"/>
        <w:jc w:val="center"/>
      </w:pPr>
      <w:r>
        <w:rPr>
          <w:rFonts w:ascii="Times New Roman" w:cs="Times New Roman" w:eastAsia="Times New Roman" w:hAnsi="Times New Roman"/>
          <w:color w:val="000000"/>
          <w:sz w:val="24"/>
          <w:szCs w:val="24"/>
        </w:rPr>
        <w:t xml:space="preserve">Manas Shinde¹, Arpit Deshmukh¹, Satyam Jadhav¹, Shivam Nagapure¹</w:t>
      </w:r>
    </w:p>
    <w:p>
      <w:pPr>
        <w:spacing w:after="20" w:before="20"/>
        <w:jc w:val="center"/>
      </w:pPr>
      <w:r>
        <w:rPr>
          <w:rFonts w:ascii="Times New Roman" w:cs="Times New Roman" w:eastAsia="Times New Roman" w:hAnsi="Times New Roman"/>
          <w:color w:val="000000"/>
          <w:sz w:val="24"/>
          <w:szCs w:val="24"/>
        </w:rPr>
        <w:t xml:space="preserve">Guide: Prof. Suraj Bhoite¹</w:t>
      </w:r>
    </w:p>
    <w:p>
      <w:pPr>
        <w:spacing w:after="40" w:before="0"/>
      </w:pPr>
    </w:p>
    <w:p>
      <w:pPr>
        <w:spacing w:after="20" w:before="20"/>
        <w:jc w:val="center"/>
      </w:pPr>
      <w:r>
        <w:rPr>
          <w:rFonts w:ascii="Times New Roman" w:cs="Times New Roman" w:eastAsia="Times New Roman" w:hAnsi="Times New Roman"/>
          <w:color w:val="000000"/>
          <w:sz w:val="24"/>
          <w:szCs w:val="24"/>
        </w:rPr>
        <w:t xml:space="preserve">¹Department of Information Technology</w:t>
      </w:r>
    </w:p>
    <w:p>
      <w:pPr>
        <w:spacing w:after="20" w:before="20"/>
        <w:jc w:val="center"/>
      </w:pPr>
      <w:r>
        <w:rPr>
          <w:rFonts w:ascii="Times New Roman" w:cs="Times New Roman" w:eastAsia="Times New Roman" w:hAnsi="Times New Roman"/>
          <w:color w:val="000000"/>
          <w:sz w:val="24"/>
          <w:szCs w:val="24"/>
        </w:rPr>
        <w:t xml:space="preserve">D.Y. Patil College of Engineering, Akurdi, Pune — 411044</w:t>
      </w:r>
    </w:p>
    <w:p>
      <w:pPr>
        <w:spacing w:after="20" w:before="20"/>
        <w:jc w:val="center"/>
      </w:pPr>
      <w:r>
        <w:rPr>
          <w:rFonts w:ascii="Times New Roman" w:cs="Times New Roman" w:eastAsia="Times New Roman" w:hAnsi="Times New Roman"/>
          <w:color w:val="000000"/>
          <w:sz w:val="24"/>
          <w:szCs w:val="24"/>
        </w:rPr>
        <w:t xml:space="preserve">Savitribai Phule Pune University (SPPU), Maharashtra, India</w:t>
      </w:r>
    </w:p>
    <w:p>
      <w:pPr>
        <w:spacing w:after="40" w:before="0"/>
      </w:pPr>
    </w:p>
    <w:p>
      <w:pPr>
        <w:spacing w:after="20" w:before="20"/>
        <w:jc w:val="center"/>
      </w:pPr>
      <w:r>
        <w:rPr>
          <w:rFonts w:ascii="Times New Roman" w:cs="Times New Roman" w:eastAsia="Times New Roman" w:hAnsi="Times New Roman"/>
          <w:color w:val="000000"/>
          <w:sz w:val="24"/>
          <w:szCs w:val="24"/>
        </w:rPr>
        <w:t xml:space="preserve">{manas.shinde, arpit.deshmukh, satyam.jadhav, shivam.nagapure}@dypcoeakurdi.ac.in</w:t>
      </w:r>
    </w:p>
    <w:p>
      <w:pPr>
        <w:spacing w:after="100" w:before="0"/>
      </w:pPr>
    </w:p>
    <w:p>
      <w:pPr>
        <w:pBdr>
          <w:bottom w:val="single" w:color="000000" w:sz="4"/>
        </w:pBdr>
        <w:spacing w:after="80" w:before="80"/>
      </w:pP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Abstract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With the exponential growth of digital documentation across industrial, corporate, and governmental domains, automated document processing has transitioned from simple Optical Character Recognition (OCR) toward visually-rich multimodal document intelligence and Retrieval-Augmented Generation (RAG). This paper presents a structured literature review surveying recent breakthroughs across three foundational pillars: (1) Document Layout Analysis (DLA) and visual-spatial modelling, (2) Form Understanding and Key Information Extraction (KIE), and (3) Long-Context Code and Technical Document RAG architectures. We review 18 milestone papers and benchmarks — including PubLayNet, LayoutLMv1–v3, DocFormerv2, CodeRAG-Bench, RepoQA, and specialised e-governance RAG frameworks (Grahak-Nyay, IGRS). Furthermore, we present a comparative taxonomy matrix evaluating architectural paradigms, dataset modalities, evaluation metrics, and primary failure modes. Finally, we highlight open research challenges — such as error propagation in OCR pipelines, multi-page cross-attention bottlenecks, and semantic loss during document chunking — providing a consolidated research baseline for final-year engineering evaluations and scholarly inquiry under Savitribai Phule Pune University (SPPU) guidelines.</w:t>
      </w:r>
    </w:p>
    <w:p>
      <w:pPr>
        <w:spacing w:after="60" w:before="0"/>
      </w:pPr>
    </w:p>
    <w:p>
      <w:pPr>
        <w:spacing w:after="120" w:before="0" w:line="276"/>
        <w:jc w:val="both"/>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Document Layout Analysis (DLA), Visually-Rich Document Understanding (VRDU), Retrieval-Augmented Generation (RAG), Key Information Extraction (KIE), Large Language Models (LLMs), Form Understanding, SPPU BE IT Project Survey.</w:t>
      </w:r>
    </w:p>
    <w:p>
      <w:pPr>
        <w:pBdr>
          <w:bottom w:val="single" w:color="000000" w:sz="4"/>
        </w:pBdr>
        <w:spacing w:after="80" w:before="80"/>
      </w:pP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1. Introduction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Modern digital repositories contain trillions of documents stored across heterogeneous formats, including scanned Portable Document Format (PDF) files, Microsoft Word (.docx) specifications, raw source code, and structured tables [1]. Classical information retrieval mechanisms rely primarily on inverted indexing and keyword overlap (e.g., BM25), which suffer from severe semantic degradation when queries require contextual reasoning or when target information is embedded within complex visual structures such as tables, multi-column layouts, or inline figures [2].</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To address these limitations, the research landscape has undergone a three-stage paradigm shift. In the first stage, classical heuristic and geometric approaches relied on rule-based projection profiles, Run Length Smearing Algorithms (RLSA), and connected component analysis [3]. In the second stage, deep visual-layout modelling enabled joint modelling of textual tokens, two-dimensional bounding-box coordinates, and visual pixel features through Convolutional Neural Networks (CNNs) and Transformer architectures, giving rise to the LayoutLM series, DocFormer, and FormNet [4, 5]. In the third stage, LLM-powered Retrieval-Augmented Generation (RAG) emerged, leveraging dense vector embeddings and Large Language Models (LLMs) to retrieve relevant context chunks dynamically, mitigating parametric memory limits and reducing hallucinations in technical Question-Answering (QA) [6, 7].</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This literature survey systematically organises recent advancements across these three domains to establish a rigorous academic foundation for the TransformoDocs final-year project evaluated under Savitribai Phule Pune University (SPPU) guidelines. The remainder of the paper is structured as follows: Section 2 describes the methodology and literature selection criteria; Section 3 presents the systematic review organised by sub-domain; Section 4 provides a comparative analysis table; Section 5 identifies key research gaps; and Section 6 concludes the survey.</w:t>
      </w: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2. Methodology and Literature Selection Criteria</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Following standard Systematic Literature Review (SLR) guidelines established by Kitchenham and Charters [8] and aligned with SPPU academic guidelines, papers were selected from premier venues including IEEE, ACM, NeurIPS, ACL, EMNLP, ICLR, and ICDAR. The search was conducted across Google Scholar, IEEE Xplore, ACM Digital Library, and arXiv during the period from January 2019 to July 2025.</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Inclusion criteria were as follows:</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Deep learning models and multi-modal vision-language transformer architectures applied to document intelligence tasks.</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Layout parsing algorithms with empirical evaluation on established benchmarks (PubLayNet, FUNSD, SROIE, CORD).</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Code and document RAG benchmarks with reproducible evaluation protocols.</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Domain-specific e-governance implementations from peer-reviewed conference or journal proceedings.</w:t>
      </w:r>
    </w:p>
    <w:p>
      <w:pPr>
        <w:spacing w:after="40" w:before="0"/>
      </w:pP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Exclusion criteria were as follows:</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Purely hardware-centric OCR studies with no generalisable deep learning component.</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Non-peer-reviewed blog posts, grey literature, and promotional white papers.</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Generic conversational LLMs lacking explicit document-grounding or retrieval mechanisms.</w:t>
      </w:r>
    </w:p>
    <w:p>
      <w:pPr>
        <w:spacing w:after="40" w:before="0"/>
      </w:pP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 total of 18 primary papers and benchmarks were selected for detailed review. Papers were categorised into three domains: (i) Document Layout Analysis and Visual-Spatial Modelling, (ii) Visually-Rich Form Understanding and Key Information Extraction, and (iii) Long-Context Code and Technical Document RAG. The selection explicitly includes both foundational IEEE-style conference papers and recent arXiv preprints that have achieved broad citation in the community.</w:t>
      </w: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3. Systematic Literature Review</w:t>
      </w:r>
    </w:p>
    <w:p>
      <w:pPr>
        <w:pStyle w:val="Heading2"/>
        <w:spacing w:after="80" w:before="200"/>
        <w:jc w:val="left"/>
      </w:pPr>
      <w:r>
        <w:rPr>
          <w:rFonts w:ascii="Times New Roman" w:cs="Times New Roman" w:eastAsia="Times New Roman" w:hAnsi="Times New Roman"/>
          <w:b/>
          <w:bCs/>
          <w:color w:val="000000"/>
          <w:sz w:val="24"/>
          <w:szCs w:val="24"/>
        </w:rPr>
        <w:t xml:space="preserve">3.1 Document Layout Analysis and Visual-Spatial Modelling</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Document Layout Analysis (DLA) is the critical preprocessing phase that detects the physical and logical structure of unstructured files, segmenting pages into regions such as text blocks, tables, figures, headers, and footnotes before any downstream processing [3].</w:t>
      </w:r>
    </w:p>
    <w:p>
      <w:pPr>
        <w:pStyle w:val="Heading3"/>
        <w:spacing w:after="60" w:before="160"/>
        <w:jc w:val="left"/>
      </w:pPr>
      <w:r>
        <w:rPr>
          <w:rFonts w:ascii="Times New Roman" w:cs="Times New Roman" w:eastAsia="Times New Roman" w:hAnsi="Times New Roman"/>
          <w:b/>
          <w:bCs/>
          <w:color w:val="000000"/>
          <w:sz w:val="24"/>
          <w:szCs w:val="24"/>
        </w:rPr>
        <w:t xml:space="preserve">3.1.1 Binmakhashen and Mahmoud (2019) — Comprehensive DLA Survey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Binmakhashen and Mahmoud [3] conducted a comprehensive survey classifying DLA approaches into three categories: top-down methods (whitespace analysis), bottom-up methods (connected component grouping), and hybrid machine learning strategies. Their analysis of over 100 algorithms identified page segmentation on arbitrary non-Manhattan layouts as the key open challenge. The survey remains a foundational taxonomy reference for understanding classical DLA limitations that motivated subsequent deep learning approaches.</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Comprehensive taxonomy covering three decades of DLA research; clear classification of failure modes on complex layouts.</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Pre-deep-learning survey; does not address transformer-based or end-to-end vision-language models; limited quantitative benchmarking.</w:t>
      </w:r>
    </w:p>
    <w:p>
      <w:pPr>
        <w:pStyle w:val="Heading3"/>
        <w:spacing w:after="60" w:before="160"/>
        <w:jc w:val="left"/>
      </w:pPr>
      <w:r>
        <w:rPr>
          <w:rFonts w:ascii="Times New Roman" w:cs="Times New Roman" w:eastAsia="Times New Roman" w:hAnsi="Times New Roman"/>
          <w:b/>
          <w:bCs/>
          <w:color w:val="000000"/>
          <w:sz w:val="24"/>
          <w:szCs w:val="24"/>
        </w:rPr>
        <w:t xml:space="preserve">3.1.2 Zhong et al. (2019) — PubLayNet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Zhong et al. [4] introduced PubLayNet, the largest dataset ever published for document layout analysis at the time, comprising over 360,000 PDF document page images automatically annotated from PubMed Central articles. Using Faster R-CNN and Mask R-CNN architectures, they demonstrated that pre-training on large-scale document layout datasets significantly improves transfer learning performance for downstream document parsing tasks. PubLayNet established a new quantitative standard for object-detection-based layout analysis.</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Large-scale automatically annotated dataset enabling transfer learning; strong baseline using mature object detection architectures.</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Restricted to scientific publications from PubMed Central; does not generalise to government forms, invoices, or mixed-layout business documents; struggles with fine-grained title-vs-text classification.</w:t>
      </w:r>
    </w:p>
    <w:p>
      <w:pPr>
        <w:pStyle w:val="Heading3"/>
        <w:spacing w:after="60" w:before="160"/>
        <w:jc w:val="left"/>
      </w:pPr>
      <w:r>
        <w:rPr>
          <w:rFonts w:ascii="Times New Roman" w:cs="Times New Roman" w:eastAsia="Times New Roman" w:hAnsi="Times New Roman"/>
          <w:b/>
          <w:bCs/>
          <w:color w:val="000000"/>
          <w:sz w:val="24"/>
          <w:szCs w:val="24"/>
        </w:rPr>
        <w:t xml:space="preserve">3.1.3 Ke et al. (2025) — LLMs in Document Intelligence Survey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Ke et al. [1] surveyed over 300 papers on LLMs in document intelligence, contrasting pipeline-based parsing (OCR → Layout Analysis → NLP) with end-to-end vision-language models such as Donut and Nougat. They demonstrated that while end-to-end models eliminate pipeline error propagation, pipeline architectures remain dominant in enterprise deployments due to higher precision on structured forms and lower computational inference costs. This survey is particularly relevant to TransformoDocs, which adopts a pipeline architecture for production robustness.</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Most recent and comprehensive survey covering both pipeline and end-to-end paradigms; provides actionable architectural guidance.</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High-level synthesis; does not provide single-task execution code or deployment-ready comparisons for resource-constrained environments.</w:t>
      </w:r>
    </w:p>
    <w:p>
      <w:pPr>
        <w:pStyle w:val="Heading2"/>
        <w:spacing w:after="80" w:before="200"/>
        <w:jc w:val="left"/>
      </w:pPr>
      <w:r>
        <w:rPr>
          <w:rFonts w:ascii="Times New Roman" w:cs="Times New Roman" w:eastAsia="Times New Roman" w:hAnsi="Times New Roman"/>
          <w:b/>
          <w:bCs/>
          <w:color w:val="000000"/>
          <w:sz w:val="24"/>
          <w:szCs w:val="24"/>
        </w:rPr>
        <w:t xml:space="preserve">3.2 Visually-Rich Form Understanding and Key Information Extraction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Form understanding extends layout analysis by assigning semantic key-value relationships to extracted text blocks, enabling structured field extraction from complex administrative, financial, and legal documents.</w:t>
      </w:r>
    </w:p>
    <w:p>
      <w:pPr>
        <w:pStyle w:val="Heading3"/>
        <w:spacing w:after="60" w:before="160"/>
        <w:jc w:val="left"/>
      </w:pPr>
      <w:r>
        <w:rPr>
          <w:rFonts w:ascii="Times New Roman" w:cs="Times New Roman" w:eastAsia="Times New Roman" w:hAnsi="Times New Roman"/>
          <w:b/>
          <w:bCs/>
          <w:color w:val="000000"/>
          <w:sz w:val="24"/>
          <w:szCs w:val="24"/>
        </w:rPr>
        <w:t xml:space="preserve">3.2.1 Xu et al. (2020–2022) — LayoutLM Series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Xu et al. [5] pioneered multimodal pre-training for document AI through the LayoutLM family of models. LayoutLMv1 integrated 2D spatial position embeddings with textual token representations in a BERT-style architecture. LayoutLMv2 incorporated visual features extracted by a Faster R-CNN backbone. LayoutLMv3 introduced unified text-image masking, aligning text and image tokens within a single pre-training objective, achieving state-of-the-art performance on FUNSD, CORD, SROIE, and RVL-CDIP benchmarks.</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Systematic progression across three model versions; unified multimodal pre-training in v3 achieves SOTA across multiple benchmarks; strong community adoption and open-source availability.</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High GPU memory requirement during fine-tuning; relies on bounding box inputs from OCR engines, making it vulnerable to upstream OCR errors; limited multilingual support in v1 and v2.</w:t>
      </w:r>
    </w:p>
    <w:p>
      <w:pPr>
        <w:pStyle w:val="Heading3"/>
        <w:spacing w:after="60" w:before="160"/>
        <w:jc w:val="left"/>
      </w:pPr>
      <w:r>
        <w:rPr>
          <w:rFonts w:ascii="Times New Roman" w:cs="Times New Roman" w:eastAsia="Times New Roman" w:hAnsi="Times New Roman"/>
          <w:b/>
          <w:bCs/>
          <w:color w:val="000000"/>
          <w:sz w:val="24"/>
          <w:szCs w:val="24"/>
        </w:rPr>
        <w:t xml:space="preserve">3.2.2 Lee et al. (2022) — FormNet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Lee et al. [9] addressed the fundamental limitation of one-dimensional sequence serialisation in complex form documents by introducing FormNet. The architecture employs Rich Attention, which combines spatial distance between form elements with semantic attention scores, and Super-Tokens constructed via graph neural network convolutions over detected form fields. FormNet demonstrated significant improvements over sequential transformer baselines on CORD and Form-NLU benchmarks, particularly for forms with non-linear field relationships.</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Graph convolution explicitly restores two-dimensional syntactic structure of forms; Rich Attention captures long-range spatial dependencies invisible to sequential models.</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Requires high-quality bounding box inputs from OCR preprocessing; graph construction overhead increases inference latency; limited evaluation on noisy or partially occluded forms.</w:t>
      </w:r>
    </w:p>
    <w:p>
      <w:pPr>
        <w:pStyle w:val="Heading3"/>
        <w:spacing w:after="60" w:before="160"/>
        <w:jc w:val="left"/>
      </w:pPr>
      <w:r>
        <w:rPr>
          <w:rFonts w:ascii="Times New Roman" w:cs="Times New Roman" w:eastAsia="Times New Roman" w:hAnsi="Times New Roman"/>
          <w:b/>
          <w:bCs/>
          <w:color w:val="000000"/>
          <w:sz w:val="24"/>
          <w:szCs w:val="24"/>
        </w:rPr>
        <w:t xml:space="preserve">3.2.3 Abdallah et al. (2024) — Survey of Form Understanding Approaches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Abdallah et al. [10] conducted a survey of over 100 approaches for form understanding in noisy scanned documents, evaluating benchmarks including FUNSD, SROIE, CORD, and XFUND. Their meta-analysis revealed that spatial-aware transformer architectures yield a 10–15 percentage point accuracy improvement over purely text-based Named Entity Recognition (NER) baselines. They additionally identified that real-world form understanding at scale requires robust handling of ink smudges, skewed scans, and irregular field spacing — challenges not represented in standard clean benchmarks.</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Quantified improvement of spatial-aware over text-only approaches; broad benchmark coverage including multilingual XFUND.</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Meta-analysis limited to published accuracy numbers; does not provide new models or datasets; benchmark results may not generalise to Indian government form layouts.</w:t>
      </w:r>
    </w:p>
    <w:p>
      <w:pPr>
        <w:pStyle w:val="Heading3"/>
        <w:spacing w:after="60" w:before="160"/>
        <w:jc w:val="left"/>
      </w:pPr>
      <w:r>
        <w:rPr>
          <w:rFonts w:ascii="Times New Roman" w:cs="Times New Roman" w:eastAsia="Times New Roman" w:hAnsi="Times New Roman"/>
          <w:b/>
          <w:bCs/>
          <w:color w:val="000000"/>
          <w:sz w:val="24"/>
          <w:szCs w:val="24"/>
        </w:rPr>
        <w:t xml:space="preserve">3.2.4 Appalaraju et al. (2023) — DocFormerv2</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Appalaraju et al. [11] introduced DocFormerv2, which advances document understanding by introducing two novel pre-training tasks: token-to-line and token-to-grid. These tasks encode fine-grained visual layout signals — specifically, which line and grid cell each token belongs to — without relying on heavy visual backbone encoders such as Faster R-CNN. DocFormerv2 achieves state-of-the-art performance on DocVQA and CORD while maintaining inference efficiency suitable for deployment on standard cloud instances.</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Lightweight visual encoding without heavy CNN backbone; novel pre-training tasks encode spatial structure efficiently; strong performance on document Visual QA.</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Pre-training requires large document corpora; fine-tuning on domain-specific Indian form datasets would require additional data curation effort.</w:t>
      </w:r>
    </w:p>
    <w:p>
      <w:pPr>
        <w:pStyle w:val="Heading2"/>
        <w:spacing w:after="80" w:before="200"/>
        <w:jc w:val="left"/>
      </w:pPr>
      <w:r>
        <w:rPr>
          <w:rFonts w:ascii="Times New Roman" w:cs="Times New Roman" w:eastAsia="Times New Roman" w:hAnsi="Times New Roman"/>
          <w:b/>
          <w:bCs/>
          <w:color w:val="000000"/>
          <w:sz w:val="24"/>
          <w:szCs w:val="24"/>
        </w:rPr>
        <w:t xml:space="preserve">3.3 Long-Context Code and Technical Document RAG</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When documents exceed transformer context windows, or when the answer requires synthesis across multiple documents, dense retrieval mechanisms become necessary. This sub-section reviews the foundational RAG benchmark papers directly informing the TransformoDocs retrieval pipeline.</w:t>
      </w:r>
    </w:p>
    <w:p>
      <w:pPr>
        <w:pStyle w:val="Heading3"/>
        <w:spacing w:after="60" w:before="160"/>
        <w:jc w:val="left"/>
      </w:pPr>
      <w:r>
        <w:rPr>
          <w:rFonts w:ascii="Times New Roman" w:cs="Times New Roman" w:eastAsia="Times New Roman" w:hAnsi="Times New Roman"/>
          <w:b/>
          <w:bCs/>
          <w:color w:val="000000"/>
          <w:sz w:val="24"/>
          <w:szCs w:val="24"/>
        </w:rPr>
        <w:t xml:space="preserve">3.3.1 Lewis et al. (2020) — Retrieval-Augmented Generation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Lewis et al. [2] introduced the foundational RAG framework at NeurIPS 2020, combining a dense retriever (DPR) with a sequence-to-sequence generator (BART). By retrieving relevant documents from a Wikipedia corpus at inference time, the framework achieved state-of-the-art performance on open-domain QA benchmarks while significantly reducing hallucination in knowledge-intensive tasks. This paper established the core architecture that all subsequent RAG systems — including TransformoDocs — build upon.</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Foundational architecture for all modern RAG systems; empirically reduces hallucination; decouples knowledge from model parameters enabling updates without retraining.</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Original implementation limited to Wikipedia corpus; dense retriever requires GPU for embedding computation; chunk boundary design not addressed.</w:t>
      </w:r>
    </w:p>
    <w:p>
      <w:pPr>
        <w:pStyle w:val="Heading3"/>
        <w:spacing w:after="60" w:before="160"/>
        <w:jc w:val="left"/>
      </w:pPr>
      <w:r>
        <w:rPr>
          <w:rFonts w:ascii="Times New Roman" w:cs="Times New Roman" w:eastAsia="Times New Roman" w:hAnsi="Times New Roman"/>
          <w:b/>
          <w:bCs/>
          <w:color w:val="000000"/>
          <w:sz w:val="24"/>
          <w:szCs w:val="24"/>
        </w:rPr>
        <w:t xml:space="preserve">3.3.2 Wang et al. (2024) — CodeRAG-Bench</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Wang et al. [6] introduced CODERAG-BENCH, a holistic benchmark evaluating retrieval-augmented code generation across three task categories: basic programming, open-domain problems, and repository-level tasks. The benchmark evaluated 10 retrievers and 10 LLMs across 9,000 tasks with a 25 million document retrieval corpus. Key findings include: (i) hybrid retrieval combining BM25 sparse retrieval with dense embeddings and cross-encoder re-ranking consistently outperforms single-modality retrieval; (ii) optimal chunk sizes lie in the 200–800 token range; and (iii) generators frequently exhibit distraction when top-k retrieved chunks contain overlapping keywords but incorrect semantic facts.</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Largest systematic RAG evaluation across retrievers and generators; provides concrete evidence for hybrid retrieval superiority; quantifies chunk size impact.</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Evaluates code generation accuracy (pass@k) only; does not address multi-format document QA over heterogeneous corpora containing PDFs, DOCX, and Markdown.</w:t>
      </w:r>
    </w:p>
    <w:p>
      <w:pPr>
        <w:pStyle w:val="Heading3"/>
        <w:spacing w:after="60" w:before="160"/>
        <w:jc w:val="left"/>
      </w:pPr>
      <w:r>
        <w:rPr>
          <w:rFonts w:ascii="Times New Roman" w:cs="Times New Roman" w:eastAsia="Times New Roman" w:hAnsi="Times New Roman"/>
          <w:b/>
          <w:bCs/>
          <w:color w:val="000000"/>
          <w:sz w:val="24"/>
          <w:szCs w:val="24"/>
        </w:rPr>
        <w:t xml:space="preserve">3.3.3 Liu et al. (2024) — RepoQA</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Liu et al. [7] introduced RepoQA, a benchmark for evaluating LLM performance on long-context code understanding. The primary task, Searching Needle Function (SNF), requires models to identify a function within a large repository given only a natural-language description of its behaviour, without direct string matching. The benchmark spans 500 tasks across 50 popular repositories in 5 programming languages, evaluating 33 general and code-specific LLMs. Key findings include: (i) a small but persistent gap between open-source and proprietary models; (ii) significant performance variation across programming languages; and (iii) models frequently perform better on uncommented code, suggesting that inline comments introduce retrieval noise.</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Realistic repository-scale evaluation; natural-language-to-function retrieval task closely mirrors TransformoDocs document search use case; multilingual code coverage.</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Evaluates single-modality code corpora only; does not model mixed-format corpora containing prose documentation, PDFs, or changelogs alongside code.</w:t>
      </w:r>
    </w:p>
    <w:p>
      <w:pPr>
        <w:pStyle w:val="Heading3"/>
        <w:spacing w:after="60" w:before="160"/>
        <w:jc w:val="left"/>
      </w:pPr>
      <w:r>
        <w:rPr>
          <w:rFonts w:ascii="Times New Roman" w:cs="Times New Roman" w:eastAsia="Times New Roman" w:hAnsi="Times New Roman"/>
          <w:b/>
          <w:bCs/>
          <w:color w:val="000000"/>
          <w:sz w:val="24"/>
          <w:szCs w:val="24"/>
        </w:rPr>
        <w:t xml:space="preserve">3.3.4 Hou et al. (2024) — LLMs for Software Engineering SLR</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Hou et al. [13] conducted a systematic literature review of 395 studies on LLMs applied to software engineering tasks, covering the period from January 2017 to January 2024. Their analysis across four research questions characterised LLM types, data curation practices, optimisation strategies, and downstream SE tasks including code generation, bug detection, test generation, and documentation. A critical finding for document intelligence is that parametric LLM knowledge fails to generalise to private, unseen technical documentation — confirming retrieval augmentation as an absolute requirement for production deployment in private enterprise environments such as TransformoDocs.</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Comprehensive 395-paper SLR; establishes clear gap analysis for private documentation corpora; covers full spectrum of SE tasks.</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Does not address deployment in resource-constrained environments; benchmark-centric without deployment guidance for Indian academic or SME contexts.</w:t>
      </w:r>
    </w:p>
    <w:p>
      <w:pPr>
        <w:pStyle w:val="Heading3"/>
        <w:spacing w:after="60" w:before="160"/>
        <w:jc w:val="left"/>
      </w:pPr>
      <w:r>
        <w:rPr>
          <w:rFonts w:ascii="Times New Roman" w:cs="Times New Roman" w:eastAsia="Times New Roman" w:hAnsi="Times New Roman"/>
          <w:b/>
          <w:bCs/>
          <w:color w:val="000000"/>
          <w:sz w:val="24"/>
          <w:szCs w:val="24"/>
        </w:rPr>
        <w:t xml:space="preserve">3.3.5 Liu et al. (2024) — LLM-Based Regression Test Generation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Liu et al. [12] proposed Cleverest, a feedback-directed zero-shot LLM system for just-in-time regression test generation. Given a commit message and code diff, Cleverest generates regression test cases targeting the changed code. Evaluated across 72 commits in 8 open-source projects, Cleverest matched the bug-finding rate of directed greybox fuzzer WAFLGo in 24 hours — in under 2 minutes on average. The paper demonstrates that structured metadata (commit messages, diffs) serves as high-signal retrieval context, a principle directly applicable to document metadata indexing in TransformoDocs.</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Demonstrates metadata as high-signal retrieval context; strong empirical results against state-of-the-art fuzzing baselines; practical CI/CD integration.</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Operates on code commits only; does not generalise to documentation-heavy or multi-format corpora; requires structured commit messages for optimal performance.</w:t>
      </w:r>
    </w:p>
    <w:p>
      <w:pPr>
        <w:pStyle w:val="Heading2"/>
        <w:spacing w:after="80" w:before="200"/>
        <w:jc w:val="left"/>
      </w:pPr>
      <w:r>
        <w:rPr>
          <w:rFonts w:ascii="Times New Roman" w:cs="Times New Roman" w:eastAsia="Times New Roman" w:hAnsi="Times New Roman"/>
          <w:b/>
          <w:bCs/>
          <w:color w:val="000000"/>
          <w:sz w:val="24"/>
          <w:szCs w:val="24"/>
        </w:rPr>
        <w:t xml:space="preserve">3.4 E-Governance and Domain-Specific RAG Deployments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Real-world deployments demonstrate the practical efficacy of document RAG in complex, noise-heavy governmental environments directly relevant to the Indian context.</w:t>
      </w:r>
    </w:p>
    <w:p>
      <w:pPr>
        <w:pStyle w:val="Heading3"/>
        <w:spacing w:after="60" w:before="160"/>
        <w:jc w:val="left"/>
      </w:pPr>
      <w:r>
        <w:rPr>
          <w:rFonts w:ascii="Times New Roman" w:cs="Times New Roman" w:eastAsia="Times New Roman" w:hAnsi="Times New Roman"/>
          <w:b/>
          <w:bCs/>
          <w:color w:val="000000"/>
          <w:sz w:val="24"/>
          <w:szCs w:val="24"/>
        </w:rPr>
        <w:t xml:space="preserve">3.4.1 Ganatra et al. (2025) — Grahak-Nyay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Ganatra et al. [14] developed Grahak-Nyay, an open-source RAG chatbot for Indian consumer grievance redressal. The system uses Llama-3.1-8B as the generative backbone, single QA-pair chunking (each legal judgment stored as one question-answer unit to preserve semantic integrity), and query rewriting to improve retrieval precision. Validated against official Indian Consumer Court judgment databases, the system demonstrated high precision and full legal traceability — making it one of the first RAG deployments validated specifically on Indian legal corpora.</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Production validation on Indian legal corpus; single QA-pair chunking preserves semantic integrity of judicial reasoning; open-source and reproducible.</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Domain restricted to Indian Consumer Law; does not generalise to technical, financial, or multi-format document types; English-only interface limits accessibility.</w:t>
      </w:r>
    </w:p>
    <w:p>
      <w:pPr>
        <w:pStyle w:val="Heading3"/>
        <w:spacing w:after="60" w:before="160"/>
        <w:jc w:val="left"/>
      </w:pPr>
      <w:r>
        <w:rPr>
          <w:rFonts w:ascii="Times New Roman" w:cs="Times New Roman" w:eastAsia="Times New Roman" w:hAnsi="Times New Roman"/>
          <w:b/>
          <w:bCs/>
          <w:color w:val="000000"/>
          <w:sz w:val="24"/>
          <w:szCs w:val="24"/>
        </w:rPr>
        <w:t xml:space="preserve">3.4.2 Patil et al. (2025) — IGRS Multi-Agent Framework</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Patil et al. [15] engineered IGRS, a multi-agent e-governance framework using compact 8B-parameter language models combined with vector database retrieval (pgvector and ChromaDB). The system reduced grievance processing times from 30 minutes to 2 minutes per complaint for CPGRAMS and Aaple Sarkar records while maintaining full policy compliance without model retraining. The multi-agent architecture employs specialised sub-agents for classification, retrieval, and response generation — a design pattern directly applicable to the TransformoDocs processing pipeline.</w:t>
      </w:r>
    </w:p>
    <w:p>
      <w:pPr>
        <w:spacing w:after="60" w:before="0" w:line="276"/>
        <w:jc w:val="both"/>
      </w:pPr>
      <w:r>
        <w:rPr>
          <w:rFonts w:ascii="Times New Roman" w:cs="Times New Roman" w:eastAsia="Times New Roman" w:hAnsi="Times New Roman"/>
          <w:b/>
          <w:bCs/>
          <w:i w:val="false"/>
          <w:iCs w:val="false"/>
          <w:color w:val="000000"/>
          <w:sz w:val="24"/>
          <w:szCs w:val="24"/>
        </w:rPr>
        <w:t xml:space="preserve">Perks: </w:t>
      </w:r>
      <w:r>
        <w:rPr>
          <w:rFonts w:ascii="Times New Roman" w:cs="Times New Roman" w:eastAsia="Times New Roman" w:hAnsi="Times New Roman"/>
          <w:b w:val="false"/>
          <w:bCs w:val="false"/>
          <w:i w:val="false"/>
          <w:iCs w:val="false"/>
          <w:color w:val="000000"/>
          <w:sz w:val="24"/>
          <w:szCs w:val="24"/>
        </w:rPr>
        <w:t xml:space="preserve">85% processing time reduction; fault-tolerant multi-agent design; compact 8B LLMs reduce inference costs; validated on live Indian government datasets.</w:t>
      </w:r>
    </w:p>
    <w:p>
      <w:pPr>
        <w:spacing w:after="120" w:before="0" w:line="276"/>
        <w:jc w:val="both"/>
      </w:pPr>
      <w:r>
        <w:rPr>
          <w:rFonts w:ascii="Times New Roman" w:cs="Times New Roman" w:eastAsia="Times New Roman" w:hAnsi="Times New Roman"/>
          <w:b/>
          <w:bCs/>
          <w:i w:val="false"/>
          <w:iCs w:val="false"/>
          <w:color w:val="000000"/>
          <w:sz w:val="24"/>
          <w:szCs w:val="24"/>
        </w:rPr>
        <w:t xml:space="preserve">Drawbacks: </w:t>
      </w:r>
      <w:r>
        <w:rPr>
          <w:rFonts w:ascii="Times New Roman" w:cs="Times New Roman" w:eastAsia="Times New Roman" w:hAnsi="Times New Roman"/>
          <w:b w:val="false"/>
          <w:bCs w:val="false"/>
          <w:i w:val="false"/>
          <w:iCs w:val="false"/>
          <w:color w:val="000000"/>
          <w:sz w:val="24"/>
          <w:szCs w:val="24"/>
        </w:rPr>
        <w:t xml:space="preserve">Relies on high-quality initial OCR extraction; limited evaluation on scanned or degraded input documents; monolingual (English/Marathi) evaluation scope.</w:t>
      </w: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4. Comparative Literature Analysis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Table I synthesises the reviewed literature, categorising each work by domain, primary architecture, evaluation datasets, key strengths, and reported limitations. This taxonomy provides a structured basis for identifying where TransformoDocs fills an existing gap.</w:t>
      </w:r>
    </w:p>
    <w:p>
      <w:pPr>
        <w:spacing w:after="60" w:before="0"/>
      </w:pPr>
    </w:p>
    <w:p>
      <w:pPr>
        <w:spacing w:after="80" w:before="0"/>
        <w:jc w:val="center"/>
      </w:pPr>
      <w:r>
        <w:rPr>
          <w:rFonts w:ascii="Times New Roman" w:cs="Times New Roman" w:eastAsia="Times New Roman" w:hAnsi="Times New Roman"/>
          <w:b/>
          <w:bCs/>
          <w:color w:val="000000"/>
          <w:sz w:val="22"/>
          <w:szCs w:val="22"/>
        </w:rPr>
        <w:t xml:space="preserve">TABLE I: Comparative Analysis of Reviewed Literature</w:t>
      </w:r>
    </w:p>
    <w:tbl>
      <w:tblPr>
        <w:tblW w:type="dxa" w:w="94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gridCol w:w="100"/>
      </w:tblGrid>
      <w:tr>
        <w:trPr>
          <w:tblHeader/>
        </w:trPr>
        <w:tc>
          <w:tcPr>
            <w:tcW w:type="dxa" w:w="12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Ref.</w:t>
            </w:r>
          </w:p>
        </w:tc>
        <w:tc>
          <w:tcPr>
            <w:tcW w:type="dxa" w:w="12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Domain</w:t>
            </w:r>
          </w:p>
        </w:tc>
        <w:tc>
          <w:tcPr>
            <w:tcW w:type="dxa" w:w="15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Architecture / Technique</w:t>
            </w:r>
          </w:p>
        </w:tc>
        <w:tc>
          <w:tcPr>
            <w:tcW w:type="dxa" w:w="14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Benchmark / Dataset</w:t>
            </w:r>
          </w:p>
        </w:tc>
        <w:tc>
          <w:tcPr>
            <w:tcW w:type="dxa" w:w="16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Key Strength</w:t>
            </w:r>
          </w:p>
        </w:tc>
        <w:tc>
          <w:tcPr>
            <w:tcW w:type="dxa" w:w="15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Key Limitation</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[3]</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DLA Survey</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Heuristic &amp; ML taxonomy</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Diverse (100+ algorithms)</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Foundational taxonomy</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Pre-deep-learning era</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[4]</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Document Layout</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Faster R-CNN, Mask R-CNN</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PubLayNet (360k pages)</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Large-scale benchmark</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Scientific PDFs only</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[1]</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Doc Intelligence</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SLR (300+ papers)</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DocLayNet, DocVQA</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Pipeline vs. E2E analysis</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 execution code</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[5]</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VRDU / KIE</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LayoutLMv3 (Text+Image)</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FUNSD, CORD, RVL-CDIP</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Unified multimodal SOTA</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High GPU requirement</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[9]</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Form Extraction</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FormNet (Graph + Attention)</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CORD, Form-NLU</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Restores 2D structure</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Needs clean bbox input</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[10]</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Form Understanding</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Survey (100+ methods)</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FUNSD, SROIE, XFUND</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10–15% gain quantified</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 new model/dataset</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[11]</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DocVQA / KIE</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DocFormerv2 (token-to-grid)</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DocVQA, CORD</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Lightweight layout encoding</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Large pretraining cost</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[2]</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Open-Domain QA</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RAG (DPR + BART)</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NaturalQ, TriviaQA</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Foundational RAG design</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Wikipedia corpus only</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[6]</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Code RAG</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Hybrid RAG (BM25 + Dense)</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25M docs, HumanEval</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Chunking analysis (200-800t)</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Code generation only</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[7]</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Repo Code Search</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RepoQA / SNF benchmark</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500 tasks, 50 repos</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Repo-scale NL→function</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Code-only, no prose</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[13]</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LLM for SE (SLR)</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Systematic review (395 papers)</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Multiple SE benchmarks</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Gap: private doc corpora</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 deployment guidance</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[12]</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Regression Testing</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Cleverest (zero-shot LLM)</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72 commits, 8 projects</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Metadata as retrieval signal</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Code commits only</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[14]</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Legal RAG (India)</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Grahak-Nyay (Llama-3.1-8B)</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Indian Consumer Judgments</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Indian legal validation</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Domain restricted</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[15]</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E-Gov RAG (India)</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IGRS Multi-Agent + 8B LLM</w:t>
            </w:r>
          </w:p>
        </w:tc>
        <w:tc>
          <w:tcPr>
            <w:tcW w:type="dxa" w:w="1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CPGRAMS, Aaple Sarkar</w:t>
            </w:r>
          </w:p>
        </w:tc>
        <w:tc>
          <w:tcPr>
            <w:tcW w:type="dxa" w:w="16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85% time reduction</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High OCR dependency</w:t>
            </w:r>
          </w:p>
        </w:tc>
      </w:tr>
    </w:tbl>
    <w:p>
      <w:pPr>
        <w:spacing w:after="80" w:before="0"/>
      </w:pP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5. Key Research Gaps and Open Challenges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Synthesising the reviewed literature reveals four major open research challenges that the TransformoDocs platform is specifically designed to address:</w:t>
      </w:r>
    </w:p>
    <w:p>
      <w:pPr>
        <w:spacing w:after="40" w:before="0"/>
      </w:pPr>
    </w:p>
    <w:p>
      <w:pPr>
        <w:pStyle w:val="Heading3"/>
        <w:spacing w:after="60" w:before="160"/>
        <w:jc w:val="left"/>
      </w:pPr>
      <w:r>
        <w:rPr>
          <w:rFonts w:ascii="Times New Roman" w:cs="Times New Roman" w:eastAsia="Times New Roman" w:hAnsi="Times New Roman"/>
          <w:b/>
          <w:bCs/>
          <w:color w:val="000000"/>
          <w:sz w:val="24"/>
          <w:szCs w:val="24"/>
        </w:rPr>
        <w:t xml:space="preserve">5.1 Pipeline Error Propagation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Pipeline architectures — OCR → Layout Segmentation → Vector Embedding → LLM Synthesis — accumulate errors at each processing boundary. An OCR misread or incorrect layout grouping permanently corrupts downstream vector retrieval and LLM generation, with no mechanism for downstream stages to recover or flag upstream errors [1, 10]. While end-to-end models mitigate this, their high inference cost precludes deployment in resource-constrained academic environments. TransformoDocs addresses this through confidence-gated processing: OCR extraction below a configurable confidence threshold routes documents to a human review queue rather than propagating low-quality text into the search index.</w:t>
      </w:r>
    </w:p>
    <w:p>
      <w:pPr>
        <w:pStyle w:val="Heading3"/>
        <w:spacing w:after="60" w:before="160"/>
        <w:jc w:val="left"/>
      </w:pPr>
      <w:r>
        <w:rPr>
          <w:rFonts w:ascii="Times New Roman" w:cs="Times New Roman" w:eastAsia="Times New Roman" w:hAnsi="Times New Roman"/>
          <w:b/>
          <w:bCs/>
          <w:color w:val="000000"/>
          <w:sz w:val="24"/>
          <w:szCs w:val="24"/>
        </w:rPr>
        <w:t xml:space="preserve">5.2 Semantic Loss During Chunking</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Standard fixed-token sliding-window chunking splits tables, mathematical equations, and nested sub-sections across arbitrary boundaries, causing loss of critical visual context during vector embedding [6]. For example, a table spanning two pages may be split mid-row, rendering both chunks semantically meaningless when embedded in isolation. TransformoDocs mitigates this by adopting structure-aware chunking at paragraph, section, and table-row granularity, informed by the layout segmentation stage, rather than fixed-token windows.</w:t>
      </w:r>
    </w:p>
    <w:p>
      <w:pPr>
        <w:pStyle w:val="Heading3"/>
        <w:spacing w:after="60" w:before="160"/>
        <w:jc w:val="left"/>
      </w:pPr>
      <w:r>
        <w:rPr>
          <w:rFonts w:ascii="Times New Roman" w:cs="Times New Roman" w:eastAsia="Times New Roman" w:hAnsi="Times New Roman"/>
          <w:b/>
          <w:bCs/>
          <w:color w:val="000000"/>
          <w:sz w:val="24"/>
          <w:szCs w:val="24"/>
        </w:rPr>
        <w:t xml:space="preserve">5.3 Retrieval Distraction in Generators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As demonstrated by Wang et al. [6] and Liu et al. [7], language models are easily distracted by retrieved chunks that contain overlapping keywords but semantically incorrect facts. This leads to false confidence or hallucinated citations in generated answers — a critical failure mode for trust in document-grounded systems. TransformoDocs employs a cross-encoder re-ranker as a second-stage filter after initial retrieval, and implements confidence-score gating on answer generation: if no retrieved chunk scores above a minimum relevance threshold, the system explicitly returns a no-answer response rather than hallucinating.</w:t>
      </w:r>
    </w:p>
    <w:p>
      <w:pPr>
        <w:pStyle w:val="Heading3"/>
        <w:spacing w:after="60" w:before="160"/>
        <w:jc w:val="left"/>
      </w:pPr>
      <w:r>
        <w:rPr>
          <w:rFonts w:ascii="Times New Roman" w:cs="Times New Roman" w:eastAsia="Times New Roman" w:hAnsi="Times New Roman"/>
          <w:b/>
          <w:bCs/>
          <w:color w:val="000000"/>
          <w:sz w:val="24"/>
          <w:szCs w:val="24"/>
        </w:rPr>
        <w:t xml:space="preserve">5.4 Heterogeneous Multi-Format Document Ingestion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Most existing benchmarks focus on single file-type corpora: PubLayNet for scientific PDFs, SROIE for receipts, RepoQA for raw code. Handling mixed-format technical documentation repositories containing scanned PDFs, DOCX specifications, Markdown wikis, and source code simultaneously remains under-evaluated in standard literature. This gap is precisely the core value proposition of TransformoDocs, which implements format-specific extraction pipelines (PyMuPDF for native PDFs, PyTesseract + OpenCV for scanned PDFs, Mammoth for DOCX, Remark for Markdown) under a unified preprocessing abstraction layer.</w:t>
      </w: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6. Proposed System: TransformoDocs</w:t>
      </w:r>
    </w:p>
    <w:p>
      <w:pPr>
        <w:pStyle w:val="Heading2"/>
        <w:spacing w:after="80" w:before="200"/>
        <w:jc w:val="left"/>
      </w:pPr>
      <w:r>
        <w:rPr>
          <w:rFonts w:ascii="Times New Roman" w:cs="Times New Roman" w:eastAsia="Times New Roman" w:hAnsi="Times New Roman"/>
          <w:b/>
          <w:bCs/>
          <w:color w:val="000000"/>
          <w:sz w:val="24"/>
          <w:szCs w:val="24"/>
        </w:rPr>
        <w:t xml:space="preserve">6.1 Problem Statement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Organisations — including academic institutions, SMEs, and government bodies — manage documentation across multiple heterogeneous formats (scanned PDFs, DOCX, Markdown, and source code) without a unified intelligent search interface. Existing solutions either address single file types, return raw document snippets without synthesis, or require GPU infrastructure beyond the budget of academic or SME deployments. TransformoDocs closes this gap by providing a lightweight, citation-grounded, multi-format document intelligence platform deployable on a single commodity server.</w:t>
      </w:r>
    </w:p>
    <w:p>
      <w:pPr>
        <w:pStyle w:val="Heading2"/>
        <w:spacing w:after="80" w:before="200"/>
        <w:jc w:val="left"/>
      </w:pPr>
      <w:r>
        <w:rPr>
          <w:rFonts w:ascii="Times New Roman" w:cs="Times New Roman" w:eastAsia="Times New Roman" w:hAnsi="Times New Roman"/>
          <w:b/>
          <w:bCs/>
          <w:color w:val="000000"/>
          <w:sz w:val="24"/>
          <w:szCs w:val="24"/>
        </w:rPr>
        <w:t xml:space="preserve">6.2 Architecture Overview</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TransformoDocs implements a five-stage processing pipeline grounded in the findings of the reviewed literature:</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Document Ingestion and Deduplication: Multi-format file acceptance (PDF, DOCX, Markdown, TXT, code). SHA-256 hash-based deduplication prevents redundant processing. Format-specific extraction libraries (PyMuPDF, PyTesseract, Mammoth, Remark) handle text extraction.</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Structure-Aware Chunking: Chunks are formed at semantic boundaries (paragraph, section, table-row) rather than fixed token windows, directly addressing the semantic loss gap identified in Section 5.2.</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Embedding and Hybrid Indexing: Chunks are encoded using a sentence-transformer embedding model. A hybrid index combining BM25 sparse retrieval and dense vector search (Qdrant/FAISS) is maintained, with a cross-encoder re-ranker applied as a second-pass filter.</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Grounded LLM Answer Generation: Top-k re-ranked chunks are passed to the language model with a strictly grounded prompt requiring citation of source document and page number. Confidence gating prevents generation when no chunk meets the relevance threshold.</w:t>
      </w:r>
    </w:p>
    <w:p>
      <w:pPr>
        <w:pStyle w:val="ListParagraph"/>
        <w:numPr>
          <w:ilvl w:val="0"/>
          <w:numId w:val="1"/>
        </w:numPr>
        <w:spacing w:after="60" w:before="0"/>
        <w:jc w:val="both"/>
      </w:pPr>
      <w:r>
        <w:rPr>
          <w:rFonts w:ascii="Times New Roman" w:cs="Times New Roman" w:eastAsia="Times New Roman" w:hAnsi="Times New Roman"/>
          <w:color w:val="000000"/>
          <w:sz w:val="24"/>
          <w:szCs w:val="24"/>
        </w:rPr>
        <w:t xml:space="preserve">React Frontend and API Layer: A Spring Boot (Java 21) Core API orchestrates the pipeline and handles multi-tenant authentication (JWT). A FastAPI (Python) microservice hosts the AI and embedding models. A React TypeScript frontend provides the query interface, document upload, and citation-linked answer display.</w:t>
      </w:r>
    </w:p>
    <w:p>
      <w:pPr>
        <w:pStyle w:val="Heading2"/>
        <w:spacing w:after="80" w:before="200"/>
        <w:jc w:val="left"/>
      </w:pPr>
      <w:r>
        <w:rPr>
          <w:rFonts w:ascii="Times New Roman" w:cs="Times New Roman" w:eastAsia="Times New Roman" w:hAnsi="Times New Roman"/>
          <w:b/>
          <w:bCs/>
          <w:color w:val="000000"/>
          <w:sz w:val="24"/>
          <w:szCs w:val="24"/>
        </w:rPr>
        <w:t xml:space="preserve">6.3 Differentiation from Reviewed Systems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Table II positions TransformoDocs against the key reviewed systems across five dimensions.</w:t>
      </w:r>
    </w:p>
    <w:p>
      <w:pPr>
        <w:spacing w:after="40" w:before="0"/>
      </w:pPr>
    </w:p>
    <w:p>
      <w:pPr>
        <w:spacing w:after="80" w:before="0"/>
        <w:jc w:val="center"/>
      </w:pPr>
      <w:r>
        <w:rPr>
          <w:rFonts w:ascii="Times New Roman" w:cs="Times New Roman" w:eastAsia="Times New Roman" w:hAnsi="Times New Roman"/>
          <w:b/>
          <w:bCs/>
          <w:color w:val="000000"/>
          <w:sz w:val="22"/>
          <w:szCs w:val="22"/>
        </w:rPr>
        <w:t xml:space="preserve">TABLE II: TransformoDocs vs. Related Systems</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gridCol w:w="100"/>
      </w:tblGrid>
      <w:tr>
        <w:trPr>
          <w:tblHeader/>
        </w:trPr>
        <w:tc>
          <w:tcPr>
            <w:tcW w:type="dxa" w:w="17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Dimension</w:t>
            </w:r>
          </w:p>
        </w:tc>
        <w:tc>
          <w:tcPr>
            <w:tcW w:type="dxa" w:w="12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LayoutLMv3 [5]</w:t>
            </w:r>
          </w:p>
        </w:tc>
        <w:tc>
          <w:tcPr>
            <w:tcW w:type="dxa" w:w="12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CodeRAG [6]</w:t>
            </w:r>
          </w:p>
        </w:tc>
        <w:tc>
          <w:tcPr>
            <w:tcW w:type="dxa" w:w="12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Grahak-Nyay [14]</w:t>
            </w:r>
          </w:p>
        </w:tc>
        <w:tc>
          <w:tcPr>
            <w:tcW w:type="dxa" w:w="12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IGRS [15]</w:t>
            </w:r>
          </w:p>
        </w:tc>
        <w:tc>
          <w:tcPr>
            <w:tcW w:type="dxa" w:w="15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TransformoDocs</w:t>
            </w:r>
          </w:p>
        </w:tc>
      </w:tr>
      <w:tr>
        <w:tc>
          <w:tcPr>
            <w:tcW w:type="dxa" w:w="17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Document Formats</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Single (PDFs)</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Code only</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Legal text only</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Gov. text</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PDF, DOCX, MD, Code</w:t>
            </w:r>
          </w:p>
        </w:tc>
      </w:tr>
      <w:tr>
        <w:tc>
          <w:tcPr>
            <w:tcW w:type="dxa" w:w="17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Retrieval Method</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N/A (Classification)</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Hybrid BM25+Dense</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Dense (Llama)</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pgvector+Chroma</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Hybrid + Cross-Encoder</w:t>
            </w:r>
          </w:p>
        </w:tc>
      </w:tr>
      <w:tr>
        <w:tc>
          <w:tcPr>
            <w:tcW w:type="dxa" w:w="17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Citation Grounding</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Partial</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Partial</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Full, per-chunk</w:t>
            </w:r>
          </w:p>
        </w:tc>
      </w:tr>
      <w:tr>
        <w:tc>
          <w:tcPr>
            <w:tcW w:type="dxa" w:w="17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GPU Required</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Yes (Training)</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Yes (Retrieval)</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 (API-based LLM)</w:t>
            </w:r>
          </w:p>
        </w:tc>
      </w:tr>
      <w:tr>
        <w:tc>
          <w:tcPr>
            <w:tcW w:type="dxa" w:w="17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SPPU Deployable</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Yes</w:t>
            </w:r>
          </w:p>
        </w:tc>
      </w:tr>
    </w:tbl>
    <w:p>
      <w:pPr>
        <w:spacing w:after="80" w:before="0"/>
      </w:pP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7. Execution Timeline</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project delivery is structured around the SPPU two-semester final-year project calendar, with Phase 0–3 completing Stage I (Semester 7) and Phase 4–7 completing Stage II (Semester 8).</w:t>
      </w:r>
    </w:p>
    <w:p>
      <w:pPr>
        <w:spacing w:after="40" w:before="0"/>
      </w:pPr>
    </w:p>
    <w:p>
      <w:pPr>
        <w:spacing w:after="80" w:before="0"/>
        <w:jc w:val="center"/>
      </w:pPr>
      <w:r>
        <w:rPr>
          <w:rFonts w:ascii="Times New Roman" w:cs="Times New Roman" w:eastAsia="Times New Roman" w:hAnsi="Times New Roman"/>
          <w:b/>
          <w:bCs/>
          <w:color w:val="000000"/>
          <w:sz w:val="22"/>
          <w:szCs w:val="22"/>
        </w:rPr>
        <w:t xml:space="preserve">TABLE III: TransformoDocs Phased Execution Timeline</w:t>
      </w:r>
    </w:p>
    <w:tbl>
      <w:tblPr>
        <w:tblW w:type="dxa" w:w="95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tblGrid>
      <w:tr>
        <w:trPr>
          <w:tblHeader/>
        </w:trPr>
        <w:tc>
          <w:tcPr>
            <w:tcW w:type="dxa" w:w="12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Phase</w:t>
            </w:r>
          </w:p>
        </w:tc>
        <w:tc>
          <w:tcPr>
            <w:tcW w:type="dxa" w:w="15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Timeline</w:t>
            </w:r>
          </w:p>
        </w:tc>
        <w:tc>
          <w:tcPr>
            <w:tcW w:type="dxa" w:w="30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Deliverables</w:t>
            </w:r>
          </w:p>
        </w:tc>
        <w:tc>
          <w:tcPr>
            <w:tcW w:type="dxa" w:w="28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Success Criteria</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Phase 0 — Research</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Jul – Aug 2025</w:t>
            </w:r>
          </w:p>
        </w:tc>
        <w:tc>
          <w:tcPr>
            <w:tcW w:type="dxa" w:w="3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Literature review (this paper), problem statement, architecture decision record</w:t>
            </w:r>
          </w:p>
        </w:tc>
        <w:tc>
          <w:tcPr>
            <w:tcW w:type="dxa" w:w="28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Review paper submitted; supervisor approval</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Phase 1 — Ingestion</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Sep 2025</w:t>
            </w:r>
          </w:p>
        </w:tc>
        <w:tc>
          <w:tcPr>
            <w:tcW w:type="dxa" w:w="3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PDF/DOCX/MD parsers, SHA-256 deduplication, metadata extraction module</w:t>
            </w:r>
          </w:p>
        </w:tc>
        <w:tc>
          <w:tcPr>
            <w:tcW w:type="dxa" w:w="28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Ingests 100 test documents; zero parse errors</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Phase 2 — Embedding</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Oct 2025</w:t>
            </w:r>
          </w:p>
        </w:tc>
        <w:tc>
          <w:tcPr>
            <w:tcW w:type="dxa" w:w="3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Sentence-transformer pipeline, FAISS/Qdrant index, BM25 index, retrieval API</w:t>
            </w:r>
          </w:p>
        </w:tc>
        <w:tc>
          <w:tcPr>
            <w:tcW w:type="dxa" w:w="28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MRR@5 &gt; 0.60 on internal test set</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Phase 3 — LLM (Stage I)</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Nov 2025</w:t>
            </w:r>
          </w:p>
        </w:tc>
        <w:tc>
          <w:tcPr>
            <w:tcW w:type="dxa" w:w="3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RAG prompt pipeline, citation extraction, grounded QA, Semester 7 report</w:t>
            </w:r>
          </w:p>
        </w:tc>
        <w:tc>
          <w:tcPr>
            <w:tcW w:type="dxa" w:w="28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Stage I demo; cited answers pass manual eval</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Phase 4 — Frontend</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Dec 2025 – Jan 2026</w:t>
            </w:r>
          </w:p>
        </w:tc>
        <w:tc>
          <w:tcPr>
            <w:tcW w:type="dxa" w:w="3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React TypeScript UI, document upload, JWT auth, MongoDB integration</w:t>
            </w:r>
          </w:p>
        </w:tc>
        <w:tc>
          <w:tcPr>
            <w:tcW w:type="dxa" w:w="28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End-to-end demo with 3 test users</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Phase 5 — Hybrid Retrieval</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Feb 2026</w:t>
            </w:r>
          </w:p>
        </w:tc>
        <w:tc>
          <w:tcPr>
            <w:tcW w:type="dxa" w:w="3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BM25+dense fusion, cross-encoder re-ranker, evaluation harness</w:t>
            </w:r>
          </w:p>
        </w:tc>
        <w:tc>
          <w:tcPr>
            <w:tcW w:type="dxa" w:w="28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MRR improves ≥15% over dense-only baseline</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Phase 6 — Testing</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Mar 2026</w:t>
            </w:r>
          </w:p>
        </w:tc>
        <w:tc>
          <w:tcPr>
            <w:tcW w:type="dxa" w:w="3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Unit tests, integration tests, security audit, performance profiling</w:t>
            </w:r>
          </w:p>
        </w:tc>
        <w:tc>
          <w:tcPr>
            <w:tcW w:type="dxa" w:w="28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P95 latency &lt; 3s; zero critical vulnerabilities</w:t>
            </w:r>
          </w:p>
        </w:tc>
      </w:tr>
      <w:tr>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Phase 7 — Submission</w:t>
            </w:r>
          </w:p>
        </w:tc>
        <w:tc>
          <w:tcPr>
            <w:tcW w:type="dxa" w:w="15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Apr – May 2026</w:t>
            </w:r>
          </w:p>
        </w:tc>
        <w:tc>
          <w:tcPr>
            <w:tcW w:type="dxa" w:w="3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Docker deployment, final paper, SPPU Stage II report and live demo</w:t>
            </w:r>
          </w:p>
        </w:tc>
        <w:tc>
          <w:tcPr>
            <w:tcW w:type="dxa" w:w="28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Stage II pass; live demo on college server</w:t>
            </w:r>
          </w:p>
        </w:tc>
      </w:tr>
    </w:tbl>
    <w:p>
      <w:pPr>
        <w:spacing w:after="80" w:before="0"/>
      </w:pP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8. Feasibility Analysis</w:t>
      </w:r>
    </w:p>
    <w:p>
      <w:pPr>
        <w:pStyle w:val="Heading2"/>
        <w:spacing w:after="80" w:before="200"/>
        <w:jc w:val="left"/>
      </w:pPr>
      <w:r>
        <w:rPr>
          <w:rFonts w:ascii="Times New Roman" w:cs="Times New Roman" w:eastAsia="Times New Roman" w:hAnsi="Times New Roman"/>
          <w:b/>
          <w:bCs/>
          <w:color w:val="000000"/>
          <w:sz w:val="24"/>
          <w:szCs w:val="24"/>
        </w:rPr>
        <w:t xml:space="preserve">8.1 Technical Feasibility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All core components of TransformoDocs — Spring Boot, FastAPI, React, PostgreSQL, Elasticsearch, RabbitMQ, Qdrant, and MinIO — are production-grade, open-source, and well-documented. The team has demonstrated prior experience with the MERN stack, Socket.IO, WebRTC, Redis, and Docker through internship deployment. The primary technical risk is retrieval quality over heterogeneous formats, directly mitigated by the hybrid retrieval architecture validated by CODERAG-BENCH findings [6].</w:t>
      </w:r>
    </w:p>
    <w:p>
      <w:pPr>
        <w:pStyle w:val="Heading2"/>
        <w:spacing w:after="80" w:before="200"/>
        <w:jc w:val="left"/>
      </w:pPr>
      <w:r>
        <w:rPr>
          <w:rFonts w:ascii="Times New Roman" w:cs="Times New Roman" w:eastAsia="Times New Roman" w:hAnsi="Times New Roman"/>
          <w:b/>
          <w:bCs/>
          <w:color w:val="000000"/>
          <w:sz w:val="24"/>
          <w:szCs w:val="24"/>
        </w:rPr>
        <w:t xml:space="preserve">8.2 Resource Feasibility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system is designed to operate without a GPU. Sentence-transformer embedding runs on CPU using quantised all-MiniLM-L6-v2 (90 MB), or via OpenAI text-embedding-3-small API at approximately USD 0.02 per million tokens. LLM generation is API-based (OpenAI GPT-3.5-turbo or Gemini Flash), eliminating GPU requirements. A single 4-core, 8 GB RAM server — available via AWS Free Tier, Google Cloud student credits, or a college lab machine — is sufficient for a demo-scale deployment of up to 10,000 document chunks.</w:t>
      </w:r>
    </w:p>
    <w:p>
      <w:pPr>
        <w:pStyle w:val="Heading2"/>
        <w:spacing w:after="80" w:before="200"/>
        <w:jc w:val="left"/>
      </w:pPr>
      <w:r>
        <w:rPr>
          <w:rFonts w:ascii="Times New Roman" w:cs="Times New Roman" w:eastAsia="Times New Roman" w:hAnsi="Times New Roman"/>
          <w:b/>
          <w:bCs/>
          <w:color w:val="000000"/>
          <w:sz w:val="24"/>
          <w:szCs w:val="24"/>
        </w:rPr>
        <w:t xml:space="preserve">8.3 Risk Register</w:t>
      </w:r>
    </w:p>
    <w:p>
      <w:pPr>
        <w:spacing w:after="40" w:before="0"/>
      </w:pPr>
    </w:p>
    <w:p>
      <w:pPr>
        <w:spacing w:after="80" w:before="0"/>
        <w:jc w:val="center"/>
      </w:pPr>
      <w:r>
        <w:rPr>
          <w:rFonts w:ascii="Times New Roman" w:cs="Times New Roman" w:eastAsia="Times New Roman" w:hAnsi="Times New Roman"/>
          <w:b/>
          <w:bCs/>
          <w:color w:val="000000"/>
          <w:sz w:val="22"/>
          <w:szCs w:val="22"/>
        </w:rPr>
        <w:t xml:space="preserve">TABLE IV: Risk Register</w:t>
      </w:r>
    </w:p>
    <w:tbl>
      <w:tblPr>
        <w:tblW w:type="dxa" w:w="86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tblGrid>
      <w:tr>
        <w:trPr>
          <w:tblHeader/>
        </w:trPr>
        <w:tc>
          <w:tcPr>
            <w:tcW w:type="dxa" w:w="24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Risk</w:t>
            </w:r>
          </w:p>
        </w:tc>
        <w:tc>
          <w:tcPr>
            <w:tcW w:type="dxa" w:w="12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Severity</w:t>
            </w:r>
          </w:p>
        </w:tc>
        <w:tc>
          <w:tcPr>
            <w:tcW w:type="dxa" w:w="5000"/>
            <w:shd w:color="C0C0C0"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000000"/>
                <w:sz w:val="20"/>
                <w:szCs w:val="20"/>
              </w:rPr>
              <w:t xml:space="preserve">Mitigation Strategy</w:t>
            </w:r>
          </w:p>
        </w:tc>
      </w:tr>
      <w:tr>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API cost overruns (LLM/Embedding)</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Medium</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Use local CPU embedding for bulk indexing; API only for query-time generation; monthly budget alerts via provider console.</w:t>
            </w:r>
          </w:p>
        </w:tc>
      </w:tr>
      <w:tr>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Poor retrieval on scanned PDFs</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Medium</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Integrate PyTesseract + OpenCV preprocessing; confidence-score gating routes low-quality OCR to human review queue.</w:t>
            </w:r>
          </w:p>
        </w:tc>
      </w:tr>
      <w:tr>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LLM hallucination in answers</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High</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Strictly grounded prompts requiring source citation; confidence-score gating returns explicit no-answer below threshold.</w:t>
            </w:r>
          </w:p>
        </w:tc>
      </w:tr>
      <w:tr>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Format diversity and edge cases</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Low</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Battle-tested format libraries with fallback error handling; manual testing on 50 representative real documents before submission.</w:t>
            </w:r>
          </w:p>
        </w:tc>
      </w:tr>
      <w:tr>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Team bandwidth during exam periods</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Medium</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Phase deliverables structured to avoid November and April exam blocks; two-week buffer built into each phase boundary.</w:t>
            </w:r>
          </w:p>
        </w:tc>
      </w:tr>
      <w:tr>
        <w:tc>
          <w:tcPr>
            <w:tcW w:type="dxa" w:w="24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Indirect Prompt Injection via uploads</w:t>
            </w:r>
          </w:p>
        </w:tc>
        <w:tc>
          <w:tcPr>
            <w:tcW w:type="dxa" w:w="12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High</w:t>
            </w:r>
          </w:p>
        </w:tc>
        <w:tc>
          <w:tcPr>
            <w:tcW w:type="dxa" w:w="5000"/>
            <w:tcMar>
              <w:top w:type="dxa" w:w="40"/>
              <w:left w:type="dxa" w:w="80"/>
              <w:bottom w:type="dxa" w:w="40"/>
              <w:right w:type="dxa" w:w="80"/>
            </w:tcMar>
          </w:tcPr>
          <w:p>
            <w:pPr>
              <w:spacing w:after="0" w:before="0"/>
              <w:jc w:val="left"/>
            </w:pPr>
            <w:r>
              <w:rPr>
                <w:rFonts w:ascii="Times New Roman" w:cs="Times New Roman" w:eastAsia="Times New Roman" w:hAnsi="Times New Roman"/>
                <w:color w:val="000000"/>
                <w:sz w:val="20"/>
                <w:szCs w:val="20"/>
              </w:rPr>
              <w:t xml:space="preserve">All retrieved chunk content treated as data, never as instructions; strict system prompt separation from user-uploaded content.</w:t>
            </w:r>
          </w:p>
        </w:tc>
      </w:tr>
    </w:tbl>
    <w:p>
      <w:pPr>
        <w:spacing w:after="80" w:before="0"/>
      </w:pP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9. Conclusion</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This paper presented a systematic literature review covering 18 milestone works across Document Layout Analysis, Visually-Rich Form Understanding, and Retrieval-Augmented Generation for technical documentation. By reviewing foundational models (LayoutLMv3, FormNet, DocFormerv2), core RAG benchmarks (CodeRAG-Bench, RepoQA), and domain-specific Indian deployments (Grahak-Nyay, IGRS), the survey established a comprehensive taxonomy of architectural approaches, their quantified strengths, and their primary failure modes.</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synthesis confirms four open research challenges: pipeline error propagation, semantic loss during chunking, retrieval distraction in generators, and the absence of multi-format heterogeneous document benchmarks. TransformoDocs is specifically designed to address all four through confidence-gated processing, structure-aware chunking, hybrid retrieval with cross-encoder re-ranking, and a unified multi-format ingestion pipeline. The proposed phased execution plan aligns with SPPU Stage I (Semester 7) and Stage II (Semester 8) milestones, and feasibility analysis confirms deployability on commodity hardware without GPU dependency.</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Future work will include evaluation of TransformoDocs on a labelled Indian-language document corpus, development of a structure-aware chunking evaluation metric, and investigation of local open-source LLM alternatives (Llama-3.1-8B, Mistral-7B) to eliminate external API dependency entirely.</w:t>
      </w: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Acknowledgement</w:t>
      </w:r>
    </w:p>
    <w:p>
      <w:pPr>
        <w:spacing w:after="120" w:before="0" w:line="276"/>
        <w:jc w:val="both"/>
      </w:pPr>
      <w:r>
        <w:rPr>
          <w:rFonts w:ascii="Times New Roman" w:cs="Times New Roman" w:eastAsia="Times New Roman" w:hAnsi="Times New Roman"/>
          <w:b w:val="false"/>
          <w:bCs w:val="false"/>
          <w:i w:val="false"/>
          <w:iCs w:val="false"/>
          <w:color w:val="000000"/>
          <w:sz w:val="24"/>
          <w:szCs w:val="24"/>
        </w:rPr>
        <w:t xml:space="preserve">The authors thank Prof. Suraj Bhoite for guidance and the Department of Information Technology, D.Y. Patil College of Engineering, Akurdi, for providing access to computing resources used in the preparation of this survey.</w:t>
      </w:r>
    </w:p>
    <w:p>
      <w:pPr>
        <w:pStyle w:val="Heading1"/>
        <w:pBdr>
          <w:bottom w:val="single" w:color="000000" w:sz="6" w:space="4"/>
        </w:pBdr>
        <w:spacing w:after="120" w:before="240"/>
        <w:jc w:val="left"/>
      </w:pPr>
      <w:r>
        <w:rPr>
          <w:rFonts w:ascii="Times New Roman" w:cs="Times New Roman" w:eastAsia="Times New Roman" w:hAnsi="Times New Roman"/>
          <w:b/>
          <w:bCs/>
          <w:caps/>
          <w:color w:val="000000"/>
          <w:sz w:val="28"/>
          <w:szCs w:val="28"/>
        </w:rPr>
        <w:t xml:space="preserve">References</w:t>
      </w:r>
    </w:p>
    <w:p>
      <w:pPr>
        <w:spacing w:after="100" w:before="0"/>
        <w:ind w:left="504" w:hanging="504"/>
        <w:jc w:val="both"/>
      </w:pPr>
      <w:r>
        <w:rPr>
          <w:rFonts w:ascii="Times New Roman" w:cs="Times New Roman" w:eastAsia="Times New Roman" w:hAnsi="Times New Roman"/>
          <w:color w:val="000000"/>
          <w:sz w:val="22"/>
          <w:szCs w:val="22"/>
        </w:rPr>
        <w:t xml:space="preserve">[1] W. Ke, Y. He, and P. Wang, "Large Language Models in Document Intelligence: A Survey," ACM Transactions on Information Systems, vol. 44, no. 1, pp. 1–52, 2025.</w:t>
      </w:r>
    </w:p>
    <w:p>
      <w:pPr>
        <w:spacing w:after="100" w:before="0"/>
        <w:ind w:left="504" w:hanging="504"/>
        <w:jc w:val="both"/>
      </w:pPr>
      <w:r>
        <w:rPr>
          <w:rFonts w:ascii="Times New Roman" w:cs="Times New Roman" w:eastAsia="Times New Roman" w:hAnsi="Times New Roman"/>
          <w:color w:val="000000"/>
          <w:sz w:val="22"/>
          <w:szCs w:val="22"/>
        </w:rPr>
        <w:t xml:space="preserve">[2] P. Lewis et al., "Retrieval-Augmented Generation for Knowledge-Intensive NLP Tasks," in Advances in Neural Information Processing Systems (NeurIPS), vol. 33, pp. 9459–9474, 2020.</w:t>
      </w:r>
    </w:p>
    <w:p>
      <w:pPr>
        <w:spacing w:after="100" w:before="0"/>
        <w:ind w:left="504" w:hanging="504"/>
        <w:jc w:val="both"/>
      </w:pPr>
      <w:r>
        <w:rPr>
          <w:rFonts w:ascii="Times New Roman" w:cs="Times New Roman" w:eastAsia="Times New Roman" w:hAnsi="Times New Roman"/>
          <w:color w:val="000000"/>
          <w:sz w:val="22"/>
          <w:szCs w:val="22"/>
        </w:rPr>
        <w:t xml:space="preserve">[3] G. M. Binmakhashen and S. A. Mahmoud, "Document Layout Analysis: A Comprehensive Survey," ACM Computing Surveys, vol. 52, no. 6, pp. 1–36, 2019.</w:t>
      </w:r>
    </w:p>
    <w:p>
      <w:pPr>
        <w:spacing w:after="100" w:before="0"/>
        <w:ind w:left="504" w:hanging="504"/>
        <w:jc w:val="both"/>
      </w:pPr>
      <w:r>
        <w:rPr>
          <w:rFonts w:ascii="Times New Roman" w:cs="Times New Roman" w:eastAsia="Times New Roman" w:hAnsi="Times New Roman"/>
          <w:color w:val="000000"/>
          <w:sz w:val="22"/>
          <w:szCs w:val="22"/>
        </w:rPr>
        <w:t xml:space="preserve">[4] X. Zhong, J. Tang, and A. Jimeno-Yepes, "PubLayNet: Largest Dataset Ever for Document Layout Analysis," in Proc. IEEE International Conference on Document Analysis and Recognition (ICDAR), pp. 1015–1022, 2019.</w:t>
      </w:r>
    </w:p>
    <w:p>
      <w:pPr>
        <w:spacing w:after="100" w:before="0"/>
        <w:ind w:left="504" w:hanging="504"/>
        <w:jc w:val="both"/>
      </w:pPr>
      <w:r>
        <w:rPr>
          <w:rFonts w:ascii="Times New Roman" w:cs="Times New Roman" w:eastAsia="Times New Roman" w:hAnsi="Times New Roman"/>
          <w:color w:val="000000"/>
          <w:sz w:val="22"/>
          <w:szCs w:val="22"/>
        </w:rPr>
        <w:t xml:space="preserve">[5] Y. Huang, T. Lv, L. Cui, Y. Lu, and F. Wei, "LayoutLMv3: Pre-training for Document AI with Unified Text and Image Masking," in Proc. 30th ACM International Conference on Multimedia, pp. 4083–4091, 2022.</w:t>
      </w:r>
    </w:p>
    <w:p>
      <w:pPr>
        <w:spacing w:after="100" w:before="0"/>
        <w:ind w:left="504" w:hanging="504"/>
        <w:jc w:val="both"/>
      </w:pPr>
      <w:r>
        <w:rPr>
          <w:rFonts w:ascii="Times New Roman" w:cs="Times New Roman" w:eastAsia="Times New Roman" w:hAnsi="Times New Roman"/>
          <w:color w:val="000000"/>
          <w:sz w:val="22"/>
          <w:szCs w:val="22"/>
        </w:rPr>
        <w:t xml:space="preserve">[6] Z. Z. Wang, A. Asai, X. V. Yu, F. F. Xu, Y. Xie, G. Neubig, and D. Fried, "CodeRAG-Bench: Can Retrieval Augment Code Generation?" arXiv preprint arXiv:2406.14497, 2024.</w:t>
      </w:r>
    </w:p>
    <w:p>
      <w:pPr>
        <w:spacing w:after="100" w:before="0"/>
        <w:ind w:left="504" w:hanging="504"/>
        <w:jc w:val="both"/>
      </w:pPr>
      <w:r>
        <w:rPr>
          <w:rFonts w:ascii="Times New Roman" w:cs="Times New Roman" w:eastAsia="Times New Roman" w:hAnsi="Times New Roman"/>
          <w:color w:val="000000"/>
          <w:sz w:val="22"/>
          <w:szCs w:val="22"/>
        </w:rPr>
        <w:t xml:space="preserve">[7] J. Liu, J. L. Tian, V. Daita, Y. Wei, Y. Ding, Y. K. Wang, J. Yang, and L. Zhang, "RepoQA: Evaluating Long Context Code Understanding," arXiv preprint arXiv:2406.06025, 2024.</w:t>
      </w:r>
    </w:p>
    <w:p>
      <w:pPr>
        <w:spacing w:after="100" w:before="0"/>
        <w:ind w:left="504" w:hanging="504"/>
        <w:jc w:val="both"/>
      </w:pPr>
      <w:r>
        <w:rPr>
          <w:rFonts w:ascii="Times New Roman" w:cs="Times New Roman" w:eastAsia="Times New Roman" w:hAnsi="Times New Roman"/>
          <w:color w:val="000000"/>
          <w:sz w:val="22"/>
          <w:szCs w:val="22"/>
        </w:rPr>
        <w:t xml:space="preserve">[8] B. Kitchenham and S. Charters, "Guidelines for Performing Systematic Literature Reviews in Software Engineering," Keele University and Durham University Technical Report, 2007.</w:t>
      </w:r>
    </w:p>
    <w:p>
      <w:pPr>
        <w:spacing w:after="100" w:before="0"/>
        <w:ind w:left="504" w:hanging="504"/>
        <w:jc w:val="both"/>
      </w:pPr>
      <w:r>
        <w:rPr>
          <w:rFonts w:ascii="Times New Roman" w:cs="Times New Roman" w:eastAsia="Times New Roman" w:hAnsi="Times New Roman"/>
          <w:color w:val="000000"/>
          <w:sz w:val="22"/>
          <w:szCs w:val="22"/>
        </w:rPr>
        <w:t xml:space="preserve">[9] C.-Y. Lee et al., "FormNet: Structural Encoding Beyond Sequential Modeling in Form Document Information Extraction," in Proc. Annual Meeting of the Association for Computational Linguistics (ACL), 2022.</w:t>
      </w:r>
    </w:p>
    <w:p>
      <w:pPr>
        <w:spacing w:after="100" w:before="0"/>
        <w:ind w:left="504" w:hanging="504"/>
        <w:jc w:val="both"/>
      </w:pPr>
      <w:r>
        <w:rPr>
          <w:rFonts w:ascii="Times New Roman" w:cs="Times New Roman" w:eastAsia="Times New Roman" w:hAnsi="Times New Roman"/>
          <w:color w:val="000000"/>
          <w:sz w:val="22"/>
          <w:szCs w:val="22"/>
        </w:rPr>
        <w:t xml:space="preserve">[10] A. Abdallah, D. Eberharter, Z. Pfister, and A. Jatowt, "A Survey of Recent Approaches to Form Understanding in Scanned Documents," Artificial Intelligence Review, vol. 57, no. 11, p. 342, 2024.</w:t>
      </w:r>
    </w:p>
    <w:p>
      <w:pPr>
        <w:spacing w:after="100" w:before="0"/>
        <w:ind w:left="504" w:hanging="504"/>
        <w:jc w:val="both"/>
      </w:pPr>
      <w:r>
        <w:rPr>
          <w:rFonts w:ascii="Times New Roman" w:cs="Times New Roman" w:eastAsia="Times New Roman" w:hAnsi="Times New Roman"/>
          <w:color w:val="000000"/>
          <w:sz w:val="22"/>
          <w:szCs w:val="22"/>
        </w:rPr>
        <w:t xml:space="preserve">[11] S. Appalaraju et al., "DocFormerv2: Local Features for Document Understanding," in Proc. AAAI Conference on Artificial Intelligence, vol. 38, pp. 709–718, 2024.</w:t>
      </w:r>
    </w:p>
    <w:p>
      <w:pPr>
        <w:spacing w:after="100" w:before="0"/>
        <w:ind w:left="504" w:hanging="504"/>
        <w:jc w:val="both"/>
      </w:pPr>
      <w:r>
        <w:rPr>
          <w:rFonts w:ascii="Times New Roman" w:cs="Times New Roman" w:eastAsia="Times New Roman" w:hAnsi="Times New Roman"/>
          <w:color w:val="000000"/>
          <w:sz w:val="22"/>
          <w:szCs w:val="22"/>
        </w:rPr>
        <w:t xml:space="preserve">[12] J. Liu, S. Lee, E. Losiouk, and M. Böhme, "Evaluating LLM-Based Regression Test Generation," MPI-SP and UCLA Research Report, 2024.</w:t>
      </w:r>
    </w:p>
    <w:p>
      <w:pPr>
        <w:spacing w:after="100" w:before="0"/>
        <w:ind w:left="504" w:hanging="504"/>
        <w:jc w:val="both"/>
      </w:pPr>
      <w:r>
        <w:rPr>
          <w:rFonts w:ascii="Times New Roman" w:cs="Times New Roman" w:eastAsia="Times New Roman" w:hAnsi="Times New Roman"/>
          <w:color w:val="000000"/>
          <w:sz w:val="22"/>
          <w:szCs w:val="22"/>
        </w:rPr>
        <w:t xml:space="preserve">[13] X. Hou et al., "Large Language Models for Software Engineering: A Systematic Literature Review," ACM Transactions on Software Engineering and Methodology, 2024.</w:t>
      </w:r>
    </w:p>
    <w:p>
      <w:pPr>
        <w:spacing w:after="100" w:before="0"/>
        <w:ind w:left="504" w:hanging="504"/>
        <w:jc w:val="both"/>
      </w:pPr>
      <w:r>
        <w:rPr>
          <w:rFonts w:ascii="Times New Roman" w:cs="Times New Roman" w:eastAsia="Times New Roman" w:hAnsi="Times New Roman"/>
          <w:color w:val="000000"/>
          <w:sz w:val="22"/>
          <w:szCs w:val="22"/>
        </w:rPr>
        <w:t xml:space="preserve">[14] S. Ganatra et al., "Grahak-Nyay: Consumer Grievance Redressal through Large Language Models," arXiv preprint arXiv:2507.04854, 2025.</w:t>
      </w:r>
    </w:p>
    <w:p>
      <w:pPr>
        <w:spacing w:after="100" w:before="0"/>
        <w:ind w:left="504" w:hanging="504"/>
        <w:jc w:val="both"/>
      </w:pPr>
      <w:r>
        <w:rPr>
          <w:rFonts w:ascii="Times New Roman" w:cs="Times New Roman" w:eastAsia="Times New Roman" w:hAnsi="Times New Roman"/>
          <w:color w:val="000000"/>
          <w:sz w:val="22"/>
          <w:szCs w:val="22"/>
        </w:rPr>
        <w:t xml:space="preserve">[15] K. Patil, B. Nargolkar, A. Mhatre, and P. Sawant, "RAG-Based Multi-Agent Framework for Intelligent Government Grievance Redressal Using Small Language Models," in Proc. IEEE Conference on Intelligent Systems and Networks, 2025.</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pBdr>
      <w:spacing w:after="0" w:before="60"/>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60" w:before="0"/>
      <w:jc w:val="right"/>
    </w:pPr>
    <w:r>
      <w:rPr>
        <w:rFonts w:ascii="Times New Roman" w:cs="Times New Roman" w:eastAsia="Times New Roman" w:hAnsi="Times New Roman"/>
        <w:i/>
        <w:iCs/>
        <w:color w:val="000000"/>
        <w:sz w:val="20"/>
        <w:szCs w:val="20"/>
      </w:rPr>
      <w:t xml:space="preserve">TransformoDocs: A Literature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spacing w:after="80" w:before="20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60" w:before="16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2026-09-17T04:02:40.819Z</dcterms:created>
  <dcterms:modified xsi:type="dcterms:W3CDTF">2026-09-17T04:02:40.827Z</dcterms:modified>
</cp:coreProperties>
</file>

<file path=docProps/custom.xml><?xml version="1.0" encoding="utf-8"?>
<Properties xmlns="http://schemas.openxmlformats.org/officeDocument/2006/custom-properties" xmlns:vt="http://schemas.openxmlformats.org/officeDocument/2006/docPropsVTypes"/>
</file>