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100" w:before="100"/>
        <w:jc w:val="center"/>
      </w:pPr>
      <w:r>
        <w:rPr>
          <w:rFonts w:ascii="Times New Roman" w:cs="Times New Roman" w:eastAsia="Times New Roman" w:hAnsi="Times New Roman"/>
          <w:b/>
          <w:bCs/>
          <w:sz w:val="28"/>
          <w:szCs w:val="28"/>
        </w:rPr>
        <w:t xml:space="preserve">A Review of LLM-Powered Intelligent Document Search and Code</w:t>
      </w:r>
    </w:p>
    <w:p>
      <w:pPr>
        <w:spacing w:after="100" w:before="100"/>
        <w:jc w:val="center"/>
      </w:pPr>
      <w:r>
        <w:rPr>
          <w:rFonts w:ascii="Times New Roman" w:cs="Times New Roman" w:eastAsia="Times New Roman" w:hAnsi="Times New Roman"/>
          <w:b/>
          <w:bCs/>
          <w:sz w:val="28"/>
          <w:szCs w:val="28"/>
        </w:rPr>
        <w:t xml:space="preserve">Understanding: Towards TransformoDocs</w:t>
      </w:r>
    </w:p>
    <w:p>
      <w:pPr>
        <w:spacing w:after="80" w:before="80"/>
      </w:pPr>
    </w:p>
    <w:p>
      <w:pPr>
        <w:spacing w:after="100" w:before="100"/>
        <w:jc w:val="center"/>
      </w:pPr>
      <w:r>
        <w:rPr>
          <w:rFonts w:ascii="Times New Roman" w:cs="Times New Roman" w:eastAsia="Times New Roman" w:hAnsi="Times New Roman"/>
          <w:b w:val="false"/>
          <w:bCs w:val="false"/>
          <w:sz w:val="22"/>
          <w:szCs w:val="22"/>
        </w:rPr>
        <w:t xml:space="preserve">Manas Shinde, [Co-Author 2], [Co-Author 3]</w:t>
      </w:r>
    </w:p>
    <w:p>
      <w:pPr>
        <w:spacing w:after="100" w:before="100"/>
        <w:jc w:val="center"/>
      </w:pPr>
      <w:r>
        <w:rPr>
          <w:rFonts w:ascii="Times New Roman" w:cs="Times New Roman" w:eastAsia="Times New Roman" w:hAnsi="Times New Roman"/>
          <w:b w:val="false"/>
          <w:bCs w:val="false"/>
          <w:sz w:val="22"/>
          <w:szCs w:val="22"/>
        </w:rPr>
        <w:t xml:space="preserve">Department of Information Technology</w:t>
      </w:r>
    </w:p>
    <w:p>
      <w:pPr>
        <w:spacing w:after="100" w:before="100"/>
        <w:jc w:val="center"/>
      </w:pPr>
      <w:r>
        <w:rPr>
          <w:rFonts w:ascii="Times New Roman" w:cs="Times New Roman" w:eastAsia="Times New Roman" w:hAnsi="Times New Roman"/>
          <w:b w:val="false"/>
          <w:bCs w:val="false"/>
          <w:sz w:val="22"/>
          <w:szCs w:val="22"/>
        </w:rPr>
        <w:t xml:space="preserve">D.Y. Patil College of Engineering, Akurdi, Pune</w:t>
      </w:r>
    </w:p>
    <w:p>
      <w:pPr>
        <w:spacing w:after="100" w:before="100"/>
        <w:jc w:val="center"/>
      </w:pPr>
      <w:r>
        <w:rPr>
          <w:rFonts w:ascii="Times New Roman" w:cs="Times New Roman" w:eastAsia="Times New Roman" w:hAnsi="Times New Roman"/>
          <w:b w:val="false"/>
          <w:bCs w:val="false"/>
          <w:sz w:val="22"/>
          <w:szCs w:val="22"/>
        </w:rPr>
        <w:t xml:space="preserve">Savitribai Phule Pune University (SPPU), India</w:t>
      </w:r>
    </w:p>
    <w:p>
      <w:pPr>
        <w:spacing w:after="100" w:before="100"/>
        <w:jc w:val="center"/>
      </w:pPr>
      <w:r>
        <w:rPr>
          <w:rFonts w:ascii="Times New Roman" w:cs="Times New Roman" w:eastAsia="Times New Roman" w:hAnsi="Times New Roman"/>
          <w:b w:val="false"/>
          <w:bCs w:val="false"/>
          <w:sz w:val="22"/>
          <w:szCs w:val="22"/>
        </w:rPr>
        <w:t xml:space="preserve">[your.email@example.com]</w:t>
      </w:r>
    </w:p>
    <w:p>
      <w:pPr>
        <w:spacing w:after="80" w:before="80"/>
      </w:pPr>
    </w:p>
    <w:p>
      <w:pPr>
        <w:pStyle w:val="Heading1"/>
        <w:spacing w:after="160" w:before="320"/>
      </w:pPr>
      <w:r>
        <w:t xml:space="preserve">Abstract</w:t>
      </w:r>
    </w:p>
    <w:p>
      <w:pPr>
        <w:spacing w:after="80" w:before="80" w:line="360"/>
        <w:jc w:val="both"/>
      </w:pPr>
      <w:r>
        <w:rPr>
          <w:rFonts w:ascii="Times New Roman" w:cs="Times New Roman" w:eastAsia="Times New Roman" w:hAnsi="Times New Roman"/>
          <w:sz w:val="22"/>
          <w:szCs w:val="22"/>
        </w:rPr>
        <w:t xml:space="preserve">The rapid advancement of Large Language Models (LLMs) has catalyzed a fundamental shift in how software developers interact with codebases and technical documentation. Traditional keyword-based search tools fail to capture semantic intent, leaving developers to manually navigate large, multi-format document repositories. This paper presents a systematic review of prior work in LLM-based code generation, retrieval-augmented generation (RAG) for code, long-context code understanding, regression test generation, and AI-assisted civic and educational platforms. We analyze their respective methodologies, strengths, and limitations. Drawing from this landscape, we introduce TransformoDocs — an intelligent, multi-format document search and understanding platform that combines dense retrieval, LLM-based answer synthesis, and a developer-centric interface. We present the motivation, architecture, differentiation from existing systems, a phased execution timeline, and a feasibility analysis. TransformoDocs is designed specifically for engineering teams and research groups who need accurate, context-aware answers from internal documentation corpora.</w:t>
      </w:r>
    </w:p>
    <w:p>
      <w:pPr>
        <w:spacing w:after="80" w:before="80"/>
      </w:pPr>
    </w:p>
    <w:p>
      <w:pPr>
        <w:spacing w:after="80" w:before="80" w:line="360"/>
        <w:jc w:val="both"/>
      </w:pPr>
      <w:r>
        <w:rPr>
          <w:rFonts w:ascii="Times New Roman" w:cs="Times New Roman" w:eastAsia="Times New Roman" w:hAnsi="Times New Roman"/>
          <w:sz w:val="22"/>
          <w:szCs w:val="22"/>
        </w:rPr>
        <w:t xml:space="preserve">Keywords: Large Language Models, Retrieval-Augmented Generation, Document Search, Code Understanding, Natural Language Processing, TransformoDocs.</w:t>
      </w:r>
    </w:p>
    <w:p>
      <w:pPr>
        <w:pStyle w:val="Heading1"/>
        <w:spacing w:after="160" w:before="320"/>
      </w:pPr>
      <w:r>
        <w:t xml:space="preserve">1. Introduction</w:t>
      </w:r>
    </w:p>
    <w:p>
      <w:pPr>
        <w:spacing w:after="80" w:before="80" w:line="360"/>
        <w:jc w:val="both"/>
      </w:pPr>
      <w:r>
        <w:rPr>
          <w:rFonts w:ascii="Times New Roman" w:cs="Times New Roman" w:eastAsia="Times New Roman" w:hAnsi="Times New Roman"/>
          <w:sz w:val="22"/>
          <w:szCs w:val="22"/>
        </w:rPr>
        <w:t xml:space="preserve">Modern software development depends heavily on documentation — API references, architecture decision records, internal wikis, PDFs, Word documents, and code repositories. As organizations scale, these corpora grow into thousands of files spanning multiple formats, making it increasingly difficult for engineers to locate relevant information quickly. Classical search tools rely on keyword overlap, which produces results that are syntactically correct but semantically shallow. A developer asking "how does the authentication middleware handle token expiry?" needs an answer, not a list of files containing those words.</w:t>
      </w:r>
    </w:p>
    <w:p>
      <w:pPr>
        <w:spacing w:after="80" w:before="80" w:line="360"/>
        <w:jc w:val="both"/>
      </w:pPr>
      <w:r>
        <w:rPr>
          <w:rFonts w:ascii="Times New Roman" w:cs="Times New Roman" w:eastAsia="Times New Roman" w:hAnsi="Times New Roman"/>
          <w:sz w:val="22"/>
          <w:szCs w:val="22"/>
        </w:rPr>
        <w:t xml:space="preserve">The emergence of transformer-based LLMs has opened new possibilities for semantic search and document-grounded question answering. RAG systems, which combine dense retrieval with LLM generation, have demonstrated strong results across text-centric domains [1]. However, their application to heterogeneous technical documentation — spanning PDFs, DOCX, code, and markdown simultaneously — remains underexplored.</w:t>
      </w:r>
    </w:p>
    <w:p>
      <w:pPr>
        <w:spacing w:after="80" w:before="80" w:line="360"/>
        <w:jc w:val="both"/>
      </w:pPr>
      <w:r>
        <w:rPr>
          <w:rFonts w:ascii="Times New Roman" w:cs="Times New Roman" w:eastAsia="Times New Roman" w:hAnsi="Times New Roman"/>
          <w:sz w:val="22"/>
          <w:szCs w:val="22"/>
        </w:rPr>
        <w:t xml:space="preserve">TransformoDocs addresses this gap. It is a web-based platform that ingests multi-format documents, indexes them using embedding-based retrieval, and uses an LLM to synthesize precise, cited answers to developer queries. The system targets final-year engineering projects, small-to-medium engineering teams, and research groups operating under SPPU academic guidelines.</w:t>
      </w:r>
    </w:p>
    <w:p>
      <w:pPr>
        <w:spacing w:after="80" w:before="80" w:line="360"/>
        <w:jc w:val="both"/>
      </w:pPr>
      <w:r>
        <w:rPr>
          <w:rFonts w:ascii="Times New Roman" w:cs="Times New Roman" w:eastAsia="Times New Roman" w:hAnsi="Times New Roman"/>
          <w:sz w:val="22"/>
          <w:szCs w:val="22"/>
        </w:rPr>
        <w:t xml:space="preserve">This paper is organized as follows: Section 2 reviews related work. Section 3 presents a comparative analysis of prior systems. Section 4 describes the TransformoDocs architecture and differentiators. Section 5 outlines the execution timeline. Section 6 discusses feasibility, risks, and mitigation. Section 7 concludes.</w:t>
      </w:r>
    </w:p>
    <w:p>
      <w:pPr>
        <w:pStyle w:val="Heading1"/>
        <w:spacing w:after="160" w:before="320"/>
      </w:pPr>
      <w:r>
        <w:t xml:space="preserve">2. Literature Review</w:t>
      </w:r>
    </w:p>
    <w:p>
      <w:pPr>
        <w:pStyle w:val="Heading2"/>
        <w:spacing w:after="120" w:before="240"/>
      </w:pPr>
      <w:r>
        <w:t xml:space="preserve">2.1 Large Language Models for Software Engineering</w:t>
      </w:r>
    </w:p>
    <w:p>
      <w:pPr>
        <w:spacing w:after="80" w:before="80" w:line="360"/>
        <w:jc w:val="both"/>
      </w:pPr>
      <w:r>
        <w:rPr>
          <w:rFonts w:ascii="Times New Roman" w:cs="Times New Roman" w:eastAsia="Times New Roman" w:hAnsi="Times New Roman"/>
          <w:sz w:val="22"/>
          <w:szCs w:val="22"/>
        </w:rPr>
        <w:t xml:space="preserve">Hou et al. (2024) [1] conducted a systematic literature review of 395 papers (2017–2024) on LLMs applied to software engineering tasks. Their work categorizes LLMs by architecture (encoder-only, decoder-only, encoder-decoder), analyzes dataset curation practices, and surveys downstream SE tasks including code generation, bug detection, test generation, and documentation. The study finds that while LLMs achieve state-of-the-art on standard benchmarks, they struggle with repository-scale context, domain-specific vocabulary, and grounding to private or unseen codebases — all problems that a RAG-enabled system like TransformoDocs is positioned to address.</w:t>
      </w:r>
    </w:p>
    <w:p>
      <w:pPr>
        <w:spacing w:after="80" w:before="80" w:line="360"/>
        <w:jc w:val="both"/>
      </w:pPr>
      <w:r>
        <w:rPr>
          <w:rFonts w:ascii="Times New Roman" w:cs="Times New Roman" w:eastAsia="Times New Roman" w:hAnsi="Times New Roman"/>
          <w:sz w:val="22"/>
          <w:szCs w:val="22"/>
        </w:rPr>
        <w:t xml:space="preserve">A key finding relevant to our work is that LLMs fine-tuned on public code corpora (GitHub, StackOverflow) do not generalize well to private documentation that was never part of training. This reinforces the need for retrieval-based augmentation rather than relying purely on parametric LLM knowledge.</w:t>
      </w:r>
    </w:p>
    <w:p>
      <w:pPr>
        <w:spacing w:after="80" w:before="80" w:line="360"/>
        <w:jc w:val="both"/>
      </w:pPr>
      <w:r>
        <w:rPr>
          <w:rFonts w:ascii="Times New Roman" w:cs="Times New Roman" w:eastAsia="Times New Roman" w:hAnsi="Times New Roman"/>
          <w:sz w:val="22"/>
          <w:szCs w:val="22"/>
        </w:rPr>
        <w:t xml:space="preserve">Limitations: The SLR treats LLMs as black-box tools evaluated on public benchmarks and does not address deployment in resource-constrained environments such as student capstone projects or low-infrastructure MSME teams.</w:t>
      </w:r>
    </w:p>
    <w:p>
      <w:pPr>
        <w:pStyle w:val="Heading2"/>
        <w:spacing w:after="120" w:before="240"/>
      </w:pPr>
      <w:r>
        <w:t xml:space="preserve">2.2 CodeRAG-Bench: Retrieval-Augmented Code Generation</w:t>
      </w:r>
    </w:p>
    <w:p>
      <w:pPr>
        <w:spacing w:after="80" w:before="80" w:line="360"/>
        <w:jc w:val="both"/>
      </w:pPr>
      <w:r>
        <w:rPr>
          <w:rFonts w:ascii="Times New Roman" w:cs="Times New Roman" w:eastAsia="Times New Roman" w:hAnsi="Times New Roman"/>
          <w:sz w:val="22"/>
          <w:szCs w:val="22"/>
        </w:rPr>
        <w:t xml:space="preserve">Wang et al. (2024) [2] introduced CODERAG-BENCH, a benchmark covering basic programming, open-domain, and repository-level code generation tasks augmented by retrieval. The authors aggregate a diverse datastore from competition solutions, tutorials, library documentation, StackOverflow posts, and GitHub repositories, and evaluate 10 retrievers with 10 LLMs across all task categories.</w:t>
      </w:r>
    </w:p>
    <w:p>
      <w:pPr>
        <w:spacing w:after="80" w:before="80" w:line="360"/>
        <w:jc w:val="both"/>
      </w:pPr>
      <w:r>
        <w:rPr>
          <w:rFonts w:ascii="Times New Roman" w:cs="Times New Roman" w:eastAsia="Times New Roman" w:hAnsi="Times New Roman"/>
          <w:sz w:val="22"/>
          <w:szCs w:val="22"/>
        </w:rPr>
        <w:t xml:space="preserve">Their central finding is that while high-quality retrieval context does improve code generation accuracy, current retrieval systems frequently fail to surface truly useful contexts, and generators have limited ability to leverage imperfect context. They also observe that open-domain code generation benefits more from RAG than basic algorithmic problems, because the latter relies on parametric reasoning that retrieval cannot improve.</w:t>
      </w:r>
    </w:p>
    <w:p>
      <w:pPr>
        <w:spacing w:after="80" w:before="80" w:line="360"/>
        <w:jc w:val="both"/>
      </w:pPr>
      <w:r>
        <w:rPr>
          <w:rFonts w:ascii="Times New Roman" w:cs="Times New Roman" w:eastAsia="Times New Roman" w:hAnsi="Times New Roman"/>
          <w:sz w:val="22"/>
          <w:szCs w:val="22"/>
        </w:rPr>
        <w:t xml:space="preserve">Relevance to TransformoDocs: This paper directly motivates our retrieval pipeline design. We adopt a hybrid retrieval strategy (BM25 sparse + dense embeddings) to reduce the failure modes Wang et al. identify, and we validate retrieved chunks before passing them to the generator using a re-ranking step.</w:t>
      </w:r>
    </w:p>
    <w:p>
      <w:pPr>
        <w:spacing w:after="80" w:before="80" w:line="360"/>
        <w:jc w:val="both"/>
      </w:pPr>
      <w:r>
        <w:rPr>
          <w:rFonts w:ascii="Times New Roman" w:cs="Times New Roman" w:eastAsia="Times New Roman" w:hAnsi="Times New Roman"/>
          <w:sz w:val="22"/>
          <w:szCs w:val="22"/>
        </w:rPr>
        <w:t xml:space="preserve">Limitations: CODERAG-BENCH focuses exclusively on code generation accuracy (pass@k) and does not evaluate document question-answering over heterogeneous formats such as PDFs or DOCX, which is central to our use case.</w:t>
      </w:r>
    </w:p>
    <w:p>
      <w:pPr>
        <w:pStyle w:val="Heading2"/>
        <w:spacing w:after="120" w:before="240"/>
      </w:pPr>
      <w:r>
        <w:t xml:space="preserve">2.3 RepoQA: Long-Context Code Understanding</w:t>
      </w:r>
    </w:p>
    <w:p>
      <w:pPr>
        <w:spacing w:after="80" w:before="80" w:line="360"/>
        <w:jc w:val="both"/>
      </w:pPr>
      <w:r>
        <w:rPr>
          <w:rFonts w:ascii="Times New Roman" w:cs="Times New Roman" w:eastAsia="Times New Roman" w:hAnsi="Times New Roman"/>
          <w:sz w:val="22"/>
          <w:szCs w:val="22"/>
        </w:rPr>
        <w:t xml:space="preserve">Liu et al. (2024) [3] introduced RepoQA, a benchmark for evaluating LLM performance on long-context code understanding. The benchmark's primary task, Searching Needle Function (SNF), asks LLMs to identify a function in a large repository given only a natural-language description of its behavior. The evaluation spans 500 tasks across 50 popular repositories in 5 programming languages and tests 33 LLMs.</w:t>
      </w:r>
    </w:p>
    <w:p>
      <w:pPr>
        <w:spacing w:after="80" w:before="80" w:line="360"/>
        <w:jc w:val="both"/>
      </w:pPr>
      <w:r>
        <w:rPr>
          <w:rFonts w:ascii="Times New Roman" w:cs="Times New Roman" w:eastAsia="Times New Roman" w:hAnsi="Times New Roman"/>
          <w:sz w:val="22"/>
          <w:szCs w:val="22"/>
        </w:rPr>
        <w:t xml:space="preserve">Key results: (i) A small but measurable performance gap remains between the best open-source and proprietary models. (ii) Models differ substantially by programming language — a model strong at Python may underperform on Go. (iii) Models often perform better on code without inline comments, likely because comments introduce noise for function-search tasks.</w:t>
      </w:r>
    </w:p>
    <w:p>
      <w:pPr>
        <w:spacing w:after="80" w:before="80" w:line="360"/>
        <w:jc w:val="both"/>
      </w:pPr>
      <w:r>
        <w:rPr>
          <w:rFonts w:ascii="Times New Roman" w:cs="Times New Roman" w:eastAsia="Times New Roman" w:hAnsi="Times New Roman"/>
          <w:sz w:val="22"/>
          <w:szCs w:val="22"/>
        </w:rPr>
        <w:t xml:space="preserve">Relevance to TransformoDocs: TransformoDocs must handle repository-level context. RepoQA's findings directly inform our chunk size and overlap strategy — we chunk at function/section granularity rather than fixed token windows to preserve semantic units, and we treat comment stripping as a configurable preprocessing option.</w:t>
      </w:r>
    </w:p>
    <w:p>
      <w:pPr>
        <w:spacing w:after="80" w:before="80" w:line="360"/>
        <w:jc w:val="both"/>
      </w:pPr>
      <w:r>
        <w:rPr>
          <w:rFonts w:ascii="Times New Roman" w:cs="Times New Roman" w:eastAsia="Times New Roman" w:hAnsi="Times New Roman"/>
          <w:sz w:val="22"/>
          <w:szCs w:val="22"/>
        </w:rPr>
        <w:t xml:space="preserve">Limitations: RepoQA evaluates retrieval from a single-modality corpus (code only) and does not model mixed-format corpora containing prose documentation, PDFs, or changelogs alongside code.</w:t>
      </w:r>
    </w:p>
    <w:p>
      <w:pPr>
        <w:pStyle w:val="Heading2"/>
        <w:spacing w:after="120" w:before="240"/>
      </w:pPr>
      <w:r>
        <w:t xml:space="preserve">2.4 LLM-Based Regression Test Generation</w:t>
      </w:r>
    </w:p>
    <w:p>
      <w:pPr>
        <w:spacing w:after="80" w:before="80" w:line="360"/>
        <w:jc w:val="both"/>
      </w:pPr>
      <w:r>
        <w:rPr>
          <w:rFonts w:ascii="Times New Roman" w:cs="Times New Roman" w:eastAsia="Times New Roman" w:hAnsi="Times New Roman"/>
          <w:sz w:val="22"/>
          <w:szCs w:val="22"/>
        </w:rPr>
        <w:t xml:space="preserve">Liu et al. (2024) [4] propose Cleverest, a feedback-directed zero-shot LLM system for just-in-time regression test generation. Given a commit message and diff, Cleverest generates test cases that exercise the changed code. Evaluated on 72 commits across 8 open-source projects (Mujs, Libxml2, PHP, etc.), Cleverest matches the bug-finding rate of directed greybox fuzzer WAFLGo in 24 hours — but in under 2 minutes on average.</w:t>
      </w:r>
    </w:p>
    <w:p>
      <w:pPr>
        <w:spacing w:after="80" w:before="80" w:line="360"/>
        <w:jc w:val="both"/>
      </w:pPr>
      <w:r>
        <w:rPr>
          <w:rFonts w:ascii="Times New Roman" w:cs="Times New Roman" w:eastAsia="Times New Roman" w:hAnsi="Times New Roman"/>
          <w:sz w:val="22"/>
          <w:szCs w:val="22"/>
        </w:rPr>
        <w:t xml:space="preserve">The paper also shows that commit message expressiveness is a significant factor: adding ~17 words of context to an underspecified commit message substantially improves test quality. Integrating Cleverest-generated tests as seeds for coverage-guided fuzzing (ClevFuzz) further doubles the bug count.</w:t>
      </w:r>
    </w:p>
    <w:p>
      <w:pPr>
        <w:spacing w:after="80" w:before="80" w:line="360"/>
        <w:jc w:val="both"/>
      </w:pPr>
      <w:r>
        <w:rPr>
          <w:rFonts w:ascii="Times New Roman" w:cs="Times New Roman" w:eastAsia="Times New Roman" w:hAnsi="Times New Roman"/>
          <w:sz w:val="22"/>
          <w:szCs w:val="22"/>
        </w:rPr>
        <w:t xml:space="preserve">Relevance to TransformoDocs: This work demonstrates that structured metadata (commit messages, code diffs) is high-signal retrieval context. TransformoDocs will extend this insight to document metadata: file title, section headings, and inline annotations will be indexed alongside content to improve retrieval precision.</w:t>
      </w:r>
    </w:p>
    <w:p>
      <w:pPr>
        <w:spacing w:after="80" w:before="80" w:line="360"/>
        <w:jc w:val="both"/>
      </w:pPr>
      <w:r>
        <w:rPr>
          <w:rFonts w:ascii="Times New Roman" w:cs="Times New Roman" w:eastAsia="Times New Roman" w:hAnsi="Times New Roman"/>
          <w:sz w:val="22"/>
          <w:szCs w:val="22"/>
        </w:rPr>
        <w:t xml:space="preserve">Limitations: Cleverest operates purely on code commits and does not demonstrate generalization to documentation-heavy corpora or multi-format files.</w:t>
      </w:r>
    </w:p>
    <w:p>
      <w:pPr>
        <w:pStyle w:val="Heading2"/>
        <w:spacing w:after="120" w:before="240"/>
      </w:pPr>
      <w:r>
        <w:t xml:space="preserve">2.5 NagrikAI: AI-Powered Civic Grievance Platform</w:t>
      </w:r>
    </w:p>
    <w:p>
      <w:pPr>
        <w:spacing w:after="80" w:before="80" w:line="360"/>
        <w:jc w:val="both"/>
      </w:pPr>
      <w:r>
        <w:rPr>
          <w:rFonts w:ascii="Times New Roman" w:cs="Times New Roman" w:eastAsia="Times New Roman" w:hAnsi="Times New Roman"/>
          <w:sz w:val="22"/>
          <w:szCs w:val="22"/>
        </w:rPr>
        <w:t xml:space="preserve">NagrikAI [5] is an AI-powered citizen governance assistant that routes civilian complaints to the correct government authority, explains citizen rights, and generates RTI/complaint applications. Its architecture combines a MERN frontend with a LangChain-based RAG pipeline backed by Pinecone or Qdrant vector stores and Gemini/OpenAI for response generation.</w:t>
      </w:r>
    </w:p>
    <w:p>
      <w:pPr>
        <w:spacing w:after="80" w:before="80" w:line="360"/>
        <w:jc w:val="both"/>
      </w:pPr>
      <w:r>
        <w:rPr>
          <w:rFonts w:ascii="Times New Roman" w:cs="Times New Roman" w:eastAsia="Times New Roman" w:hAnsi="Times New Roman"/>
          <w:sz w:val="22"/>
          <w:szCs w:val="22"/>
        </w:rPr>
        <w:t xml:space="preserve">While NagrikAI operates in the civic domain rather than technical documentation, it demonstrates a production-grade RAG deployment within the Indian context, with practical design choices (multilingual support, JWT authentication, a React frontend) that are directly transferable. Its differentiation — a citizen workflow engine rather than a chatbot — mirrors TransformoDocs' goal of being an intelligent answer engine rather than a simple file search tool.</w:t>
      </w:r>
    </w:p>
    <w:p>
      <w:pPr>
        <w:spacing w:after="80" w:before="80" w:line="360"/>
        <w:jc w:val="both"/>
      </w:pPr>
      <w:r>
        <w:rPr>
          <w:rFonts w:ascii="Times New Roman" w:cs="Times New Roman" w:eastAsia="Times New Roman" w:hAnsi="Times New Roman"/>
          <w:sz w:val="22"/>
          <w:szCs w:val="22"/>
        </w:rPr>
        <w:t xml:space="preserve">Limitations: NagrikAI's knowledge base is curated government documentation, a closed and well-structured domain. TransformoDocs must handle arbitrary, user-uploaded, heterogeneous corpora — introducing format diversity, variable quality, and chunking complexity that NagrikAI does not address.</w:t>
      </w:r>
    </w:p>
    <w:p>
      <w:pPr>
        <w:pStyle w:val="Heading2"/>
        <w:spacing w:after="120" w:before="240"/>
      </w:pPr>
      <w:r>
        <w:t xml:space="preserve">2.6 AI Civic Navigator and Related Research Papers</w:t>
      </w:r>
    </w:p>
    <w:p>
      <w:pPr>
        <w:spacing w:after="80" w:before="80" w:line="360"/>
        <w:jc w:val="both"/>
      </w:pPr>
      <w:r>
        <w:rPr>
          <w:rFonts w:ascii="Times New Roman" w:cs="Times New Roman" w:eastAsia="Times New Roman" w:hAnsi="Times New Roman"/>
          <w:sz w:val="22"/>
          <w:szCs w:val="22"/>
        </w:rPr>
        <w:t xml:space="preserve">The Research-papers-AI-powered Civic Navigator document in the shared corpus reinforces the utility of RAG-based conversational systems in high-stakes information retrieval. It highlights that intent classification and entity extraction are necessary preprocessing steps before retrieval — a principle we incorporate in TransformoDocs' query preprocessing pipeline. The paper also notes the importance of fallback mechanisms when retrieved context confidence is low, which we address through confidence-gated answer generation.</w:t>
      </w:r>
    </w:p>
    <w:p>
      <w:pPr>
        <w:pStyle w:val="Heading1"/>
        <w:spacing w:after="160" w:before="320"/>
      </w:pPr>
      <w:r>
        <w:t xml:space="preserve">3. Comparative Analysis of Prior Approaches</w:t>
      </w:r>
    </w:p>
    <w:p>
      <w:pPr>
        <w:spacing w:after="80" w:before="80" w:line="360"/>
        <w:jc w:val="both"/>
      </w:pPr>
      <w:r>
        <w:rPr>
          <w:rFonts w:ascii="Times New Roman" w:cs="Times New Roman" w:eastAsia="Times New Roman" w:hAnsi="Times New Roman"/>
          <w:sz w:val="22"/>
          <w:szCs w:val="22"/>
        </w:rPr>
        <w:t xml:space="preserve">Table 1 below summarizes the key prior works, their primary techniques, perks, and limitations relative to the TransformoDocs use case.</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00"/>
        <w:gridCol w:w="2000"/>
        <w:gridCol w:w="1900"/>
      </w:tblGrid>
      <w:tr>
        <w:trPr>
          <w:tblHeader/>
        </w:trPr>
        <w:tc>
          <w:tcPr>
            <w:tcW w:type="dxa" w:w="1840"/>
            <w:shd w:color="CCCCCC" w:val="clear"/>
          </w:tcPr>
          <w:p>
            <w:r>
              <w:rPr>
                <w:rFonts w:ascii="Times New Roman" w:cs="Times New Roman" w:eastAsia="Times New Roman" w:hAnsi="Times New Roman"/>
                <w:b/>
                <w:bCs/>
                <w:sz w:val="18"/>
                <w:szCs w:val="18"/>
              </w:rPr>
              <w:t xml:space="preserve">Paper / System</w:t>
            </w:r>
          </w:p>
        </w:tc>
        <w:tc>
          <w:tcPr>
            <w:tcW w:type="dxa" w:w="1840"/>
            <w:shd w:color="CCCCCC" w:val="clear"/>
          </w:tcPr>
          <w:p>
            <w:r>
              <w:rPr>
                <w:rFonts w:ascii="Times New Roman" w:cs="Times New Roman" w:eastAsia="Times New Roman" w:hAnsi="Times New Roman"/>
                <w:b/>
                <w:bCs/>
                <w:sz w:val="18"/>
                <w:szCs w:val="18"/>
              </w:rPr>
              <w:t xml:space="preserve">Primary Technique</w:t>
            </w:r>
          </w:p>
        </w:tc>
        <w:tc>
          <w:tcPr>
            <w:tcW w:type="dxa" w:w="1840"/>
            <w:shd w:color="CCCCCC" w:val="clear"/>
          </w:tcPr>
          <w:p>
            <w:r>
              <w:rPr>
                <w:rFonts w:ascii="Times New Roman" w:cs="Times New Roman" w:eastAsia="Times New Roman" w:hAnsi="Times New Roman"/>
                <w:b/>
                <w:bCs/>
                <w:sz w:val="18"/>
                <w:szCs w:val="18"/>
              </w:rPr>
              <w:t xml:space="preserve">Key Strength</w:t>
            </w:r>
          </w:p>
        </w:tc>
        <w:tc>
          <w:tcPr>
            <w:tcW w:type="dxa" w:w="1840"/>
            <w:shd w:color="CCCCCC" w:val="clear"/>
          </w:tcPr>
          <w:p>
            <w:r>
              <w:rPr>
                <w:rFonts w:ascii="Times New Roman" w:cs="Times New Roman" w:eastAsia="Times New Roman" w:hAnsi="Times New Roman"/>
                <w:b/>
                <w:bCs/>
                <w:sz w:val="18"/>
                <w:szCs w:val="18"/>
              </w:rPr>
              <w:t xml:space="preserve">Key Limitation</w:t>
            </w:r>
          </w:p>
        </w:tc>
        <w:tc>
          <w:tcPr>
            <w:tcW w:type="dxa" w:w="1840"/>
            <w:shd w:color="CCCCCC" w:val="clear"/>
          </w:tcPr>
          <w:p>
            <w:r>
              <w:rPr>
                <w:rFonts w:ascii="Times New Roman" w:cs="Times New Roman" w:eastAsia="Times New Roman" w:hAnsi="Times New Roman"/>
                <w:b/>
                <w:bCs/>
                <w:sz w:val="18"/>
                <w:szCs w:val="18"/>
              </w:rPr>
              <w:t xml:space="preserve">Relevance to TransformoDocs</w:t>
            </w:r>
          </w:p>
        </w:tc>
      </w:tr>
      <w:tr>
        <w:tc>
          <w:tcPr>
            <w:tcW w:type="dxa" w:w="1840"/>
          </w:tcPr>
          <w:p>
            <w:r>
              <w:rPr>
                <w:rFonts w:ascii="Times New Roman" w:cs="Times New Roman" w:eastAsia="Times New Roman" w:hAnsi="Times New Roman"/>
                <w:sz w:val="18"/>
                <w:szCs w:val="18"/>
              </w:rPr>
              <w:t xml:space="preserve">Hou et al. 2024 [1]</w:t>
            </w:r>
          </w:p>
        </w:tc>
        <w:tc>
          <w:tcPr>
            <w:tcW w:type="dxa" w:w="1840"/>
          </w:tcPr>
          <w:p>
            <w:r>
              <w:rPr>
                <w:rFonts w:ascii="Times New Roman" w:cs="Times New Roman" w:eastAsia="Times New Roman" w:hAnsi="Times New Roman"/>
                <w:sz w:val="18"/>
                <w:szCs w:val="18"/>
              </w:rPr>
              <w:t xml:space="preserve">Systematic Literature Review</w:t>
            </w:r>
          </w:p>
        </w:tc>
        <w:tc>
          <w:tcPr>
            <w:tcW w:type="dxa" w:w="1840"/>
          </w:tcPr>
          <w:p>
            <w:r>
              <w:rPr>
                <w:rFonts w:ascii="Times New Roman" w:cs="Times New Roman" w:eastAsia="Times New Roman" w:hAnsi="Times New Roman"/>
                <w:sz w:val="18"/>
                <w:szCs w:val="18"/>
              </w:rPr>
              <w:t xml:space="preserve">Comprehensive SE task taxonomy; 395 papers</w:t>
            </w:r>
          </w:p>
        </w:tc>
        <w:tc>
          <w:tcPr>
            <w:tcW w:type="dxa" w:w="1840"/>
          </w:tcPr>
          <w:p>
            <w:r>
              <w:rPr>
                <w:rFonts w:ascii="Times New Roman" w:cs="Times New Roman" w:eastAsia="Times New Roman" w:hAnsi="Times New Roman"/>
                <w:sz w:val="18"/>
                <w:szCs w:val="18"/>
              </w:rPr>
              <w:t xml:space="preserve">No deployment or RAG focus; benchmark-only</w:t>
            </w:r>
          </w:p>
        </w:tc>
        <w:tc>
          <w:tcPr>
            <w:tcW w:type="dxa" w:w="1840"/>
          </w:tcPr>
          <w:p>
            <w:r>
              <w:rPr>
                <w:rFonts w:ascii="Times New Roman" w:cs="Times New Roman" w:eastAsia="Times New Roman" w:hAnsi="Times New Roman"/>
                <w:sz w:val="18"/>
                <w:szCs w:val="18"/>
              </w:rPr>
              <w:t xml:space="preserve">Gap analysis for private doc corpora</w:t>
            </w:r>
          </w:p>
        </w:tc>
      </w:tr>
      <w:tr>
        <w:tc>
          <w:tcPr>
            <w:tcW w:type="dxa" w:w="1840"/>
          </w:tcPr>
          <w:p>
            <w:r>
              <w:rPr>
                <w:rFonts w:ascii="Times New Roman" w:cs="Times New Roman" w:eastAsia="Times New Roman" w:hAnsi="Times New Roman"/>
                <w:sz w:val="18"/>
                <w:szCs w:val="18"/>
              </w:rPr>
              <w:t xml:space="preserve">Wang et al. 2024 [2]</w:t>
            </w:r>
          </w:p>
        </w:tc>
        <w:tc>
          <w:tcPr>
            <w:tcW w:type="dxa" w:w="1840"/>
          </w:tcPr>
          <w:p>
            <w:r>
              <w:rPr>
                <w:rFonts w:ascii="Times New Roman" w:cs="Times New Roman" w:eastAsia="Times New Roman" w:hAnsi="Times New Roman"/>
                <w:sz w:val="18"/>
                <w:szCs w:val="18"/>
              </w:rPr>
              <w:t xml:space="preserve">RAG for Code Generation</w:t>
            </w:r>
          </w:p>
        </w:tc>
        <w:tc>
          <w:tcPr>
            <w:tcW w:type="dxa" w:w="1840"/>
          </w:tcPr>
          <w:p>
            <w:r>
              <w:rPr>
                <w:rFonts w:ascii="Times New Roman" w:cs="Times New Roman" w:eastAsia="Times New Roman" w:hAnsi="Times New Roman"/>
                <w:sz w:val="18"/>
                <w:szCs w:val="18"/>
              </w:rPr>
              <w:t xml:space="preserve">Multi-source datastore; 10×10 evaluation</w:t>
            </w:r>
          </w:p>
        </w:tc>
        <w:tc>
          <w:tcPr>
            <w:tcW w:type="dxa" w:w="1840"/>
          </w:tcPr>
          <w:p>
            <w:r>
              <w:rPr>
                <w:rFonts w:ascii="Times New Roman" w:cs="Times New Roman" w:eastAsia="Times New Roman" w:hAnsi="Times New Roman"/>
                <w:sz w:val="18"/>
                <w:szCs w:val="18"/>
              </w:rPr>
              <w:t xml:space="preserve">Code generation only; no heterogeneous formats</w:t>
            </w:r>
          </w:p>
        </w:tc>
        <w:tc>
          <w:tcPr>
            <w:tcW w:type="dxa" w:w="1840"/>
          </w:tcPr>
          <w:p>
            <w:r>
              <w:rPr>
                <w:rFonts w:ascii="Times New Roman" w:cs="Times New Roman" w:eastAsia="Times New Roman" w:hAnsi="Times New Roman"/>
                <w:sz w:val="18"/>
                <w:szCs w:val="18"/>
              </w:rPr>
              <w:t xml:space="preserve">Hybrid retrieval strategy design</w:t>
            </w:r>
          </w:p>
        </w:tc>
      </w:tr>
      <w:tr>
        <w:tc>
          <w:tcPr>
            <w:tcW w:type="dxa" w:w="1840"/>
          </w:tcPr>
          <w:p>
            <w:r>
              <w:rPr>
                <w:rFonts w:ascii="Times New Roman" w:cs="Times New Roman" w:eastAsia="Times New Roman" w:hAnsi="Times New Roman"/>
                <w:sz w:val="18"/>
                <w:szCs w:val="18"/>
              </w:rPr>
              <w:t xml:space="preserve">Liu et al. 2024 [3]</w:t>
            </w:r>
          </w:p>
        </w:tc>
        <w:tc>
          <w:tcPr>
            <w:tcW w:type="dxa" w:w="1840"/>
          </w:tcPr>
          <w:p>
            <w:r>
              <w:rPr>
                <w:rFonts w:ascii="Times New Roman" w:cs="Times New Roman" w:eastAsia="Times New Roman" w:hAnsi="Times New Roman"/>
                <w:sz w:val="18"/>
                <w:szCs w:val="18"/>
              </w:rPr>
              <w:t xml:space="preserve">Long-Context LLM Benchmarking</w:t>
            </w:r>
          </w:p>
        </w:tc>
        <w:tc>
          <w:tcPr>
            <w:tcW w:type="dxa" w:w="1840"/>
          </w:tcPr>
          <w:p>
            <w:r>
              <w:rPr>
                <w:rFonts w:ascii="Times New Roman" w:cs="Times New Roman" w:eastAsia="Times New Roman" w:hAnsi="Times New Roman"/>
                <w:sz w:val="18"/>
                <w:szCs w:val="18"/>
              </w:rPr>
              <w:t xml:space="preserve">Repo-scale function search; 33 LLMs tested</w:t>
            </w:r>
          </w:p>
        </w:tc>
        <w:tc>
          <w:tcPr>
            <w:tcW w:type="dxa" w:w="1840"/>
          </w:tcPr>
          <w:p>
            <w:r>
              <w:rPr>
                <w:rFonts w:ascii="Times New Roman" w:cs="Times New Roman" w:eastAsia="Times New Roman" w:hAnsi="Times New Roman"/>
                <w:sz w:val="18"/>
                <w:szCs w:val="18"/>
              </w:rPr>
              <w:t xml:space="preserve">Code-only; no mixed-format corpora</w:t>
            </w:r>
          </w:p>
        </w:tc>
        <w:tc>
          <w:tcPr>
            <w:tcW w:type="dxa" w:w="1840"/>
          </w:tcPr>
          <w:p>
            <w:r>
              <w:rPr>
                <w:rFonts w:ascii="Times New Roman" w:cs="Times New Roman" w:eastAsia="Times New Roman" w:hAnsi="Times New Roman"/>
                <w:sz w:val="18"/>
                <w:szCs w:val="18"/>
              </w:rPr>
              <w:t xml:space="preserve">Function-level chunking strategy</w:t>
            </w:r>
          </w:p>
        </w:tc>
      </w:tr>
      <w:tr>
        <w:tc>
          <w:tcPr>
            <w:tcW w:type="dxa" w:w="1840"/>
          </w:tcPr>
          <w:p>
            <w:r>
              <w:rPr>
                <w:rFonts w:ascii="Times New Roman" w:cs="Times New Roman" w:eastAsia="Times New Roman" w:hAnsi="Times New Roman"/>
                <w:sz w:val="18"/>
                <w:szCs w:val="18"/>
              </w:rPr>
              <w:t xml:space="preserve">Liu et al. 2024 [4]</w:t>
            </w:r>
          </w:p>
        </w:tc>
        <w:tc>
          <w:tcPr>
            <w:tcW w:type="dxa" w:w="1840"/>
          </w:tcPr>
          <w:p>
            <w:r>
              <w:rPr>
                <w:rFonts w:ascii="Times New Roman" w:cs="Times New Roman" w:eastAsia="Times New Roman" w:hAnsi="Times New Roman"/>
                <w:sz w:val="18"/>
                <w:szCs w:val="18"/>
              </w:rPr>
              <w:t xml:space="preserve">Zero-shot Regression Test Gen</w:t>
            </w:r>
          </w:p>
        </w:tc>
        <w:tc>
          <w:tcPr>
            <w:tcW w:type="dxa" w:w="1840"/>
          </w:tcPr>
          <w:p>
            <w:r>
              <w:rPr>
                <w:rFonts w:ascii="Times New Roman" w:cs="Times New Roman" w:eastAsia="Times New Roman" w:hAnsi="Times New Roman"/>
                <w:sz w:val="18"/>
                <w:szCs w:val="18"/>
              </w:rPr>
              <w:t xml:space="preserve">Fast, commit-aware, fuzzing integration</w:t>
            </w:r>
          </w:p>
        </w:tc>
        <w:tc>
          <w:tcPr>
            <w:tcW w:type="dxa" w:w="1840"/>
          </w:tcPr>
          <w:p>
            <w:r>
              <w:rPr>
                <w:rFonts w:ascii="Times New Roman" w:cs="Times New Roman" w:eastAsia="Times New Roman" w:hAnsi="Times New Roman"/>
                <w:sz w:val="18"/>
                <w:szCs w:val="18"/>
              </w:rPr>
              <w:t xml:space="preserve">Code commits only; no documentation</w:t>
            </w:r>
          </w:p>
        </w:tc>
        <w:tc>
          <w:tcPr>
            <w:tcW w:type="dxa" w:w="1840"/>
          </w:tcPr>
          <w:p>
            <w:r>
              <w:rPr>
                <w:rFonts w:ascii="Times New Roman" w:cs="Times New Roman" w:eastAsia="Times New Roman" w:hAnsi="Times New Roman"/>
                <w:sz w:val="18"/>
                <w:szCs w:val="18"/>
              </w:rPr>
              <w:t xml:space="preserve">Metadata as retrieval signal</w:t>
            </w:r>
          </w:p>
        </w:tc>
      </w:tr>
      <w:tr>
        <w:tc>
          <w:tcPr>
            <w:tcW w:type="dxa" w:w="1840"/>
          </w:tcPr>
          <w:p>
            <w:r>
              <w:rPr>
                <w:rFonts w:ascii="Times New Roman" w:cs="Times New Roman" w:eastAsia="Times New Roman" w:hAnsi="Times New Roman"/>
                <w:sz w:val="18"/>
                <w:szCs w:val="18"/>
              </w:rPr>
              <w:t xml:space="preserve">NagrikAI [5]</w:t>
            </w:r>
          </w:p>
        </w:tc>
        <w:tc>
          <w:tcPr>
            <w:tcW w:type="dxa" w:w="1840"/>
          </w:tcPr>
          <w:p>
            <w:r>
              <w:rPr>
                <w:rFonts w:ascii="Times New Roman" w:cs="Times New Roman" w:eastAsia="Times New Roman" w:hAnsi="Times New Roman"/>
                <w:sz w:val="18"/>
                <w:szCs w:val="18"/>
              </w:rPr>
              <w:t xml:space="preserve">Civic RAG Platform (MERN)</w:t>
            </w:r>
          </w:p>
        </w:tc>
        <w:tc>
          <w:tcPr>
            <w:tcW w:type="dxa" w:w="1840"/>
          </w:tcPr>
          <w:p>
            <w:r>
              <w:rPr>
                <w:rFonts w:ascii="Times New Roman" w:cs="Times New Roman" w:eastAsia="Times New Roman" w:hAnsi="Times New Roman"/>
                <w:sz w:val="18"/>
                <w:szCs w:val="18"/>
              </w:rPr>
              <w:t xml:space="preserve">Production Indian deployment; full workflow</w:t>
            </w:r>
          </w:p>
        </w:tc>
        <w:tc>
          <w:tcPr>
            <w:tcW w:type="dxa" w:w="1840"/>
          </w:tcPr>
          <w:p>
            <w:r>
              <w:rPr>
                <w:rFonts w:ascii="Times New Roman" w:cs="Times New Roman" w:eastAsia="Times New Roman" w:hAnsi="Times New Roman"/>
                <w:sz w:val="18"/>
                <w:szCs w:val="18"/>
              </w:rPr>
              <w:t xml:space="preserve">Closed curated domain; no user uploads</w:t>
            </w:r>
          </w:p>
        </w:tc>
        <w:tc>
          <w:tcPr>
            <w:tcW w:type="dxa" w:w="1840"/>
          </w:tcPr>
          <w:p>
            <w:r>
              <w:rPr>
                <w:rFonts w:ascii="Times New Roman" w:cs="Times New Roman" w:eastAsia="Times New Roman" w:hAnsi="Times New Roman"/>
                <w:sz w:val="18"/>
                <w:szCs w:val="18"/>
              </w:rPr>
              <w:t xml:space="preserve">Architecture and tech stack reference</w:t>
            </w:r>
          </w:p>
        </w:tc>
      </w:tr>
      <w:tr>
        <w:tc>
          <w:tcPr>
            <w:tcW w:type="dxa" w:w="1840"/>
          </w:tcPr>
          <w:p>
            <w:r>
              <w:rPr>
                <w:rFonts w:ascii="Times New Roman" w:cs="Times New Roman" w:eastAsia="Times New Roman" w:hAnsi="Times New Roman"/>
                <w:sz w:val="18"/>
                <w:szCs w:val="18"/>
              </w:rPr>
              <w:t xml:space="preserve">TransformoDocs</w:t>
            </w:r>
          </w:p>
        </w:tc>
        <w:tc>
          <w:tcPr>
            <w:tcW w:type="dxa" w:w="1840"/>
          </w:tcPr>
          <w:p>
            <w:r>
              <w:rPr>
                <w:rFonts w:ascii="Times New Roman" w:cs="Times New Roman" w:eastAsia="Times New Roman" w:hAnsi="Times New Roman"/>
                <w:sz w:val="18"/>
                <w:szCs w:val="18"/>
              </w:rPr>
              <w:t xml:space="preserve">Multi-format Doc Search + LLM QA</w:t>
            </w:r>
          </w:p>
        </w:tc>
        <w:tc>
          <w:tcPr>
            <w:tcW w:type="dxa" w:w="1840"/>
          </w:tcPr>
          <w:p>
            <w:r>
              <w:rPr>
                <w:rFonts w:ascii="Times New Roman" w:cs="Times New Roman" w:eastAsia="Times New Roman" w:hAnsi="Times New Roman"/>
                <w:sz w:val="18"/>
                <w:szCs w:val="18"/>
              </w:rPr>
              <w:t xml:space="preserve">Heterogeneous formats; cited answers; user uploads</w:t>
            </w:r>
          </w:p>
        </w:tc>
        <w:tc>
          <w:tcPr>
            <w:tcW w:type="dxa" w:w="1840"/>
          </w:tcPr>
          <w:p>
            <w:r>
              <w:rPr>
                <w:rFonts w:ascii="Times New Roman" w:cs="Times New Roman" w:eastAsia="Times New Roman" w:hAnsi="Times New Roman"/>
                <w:sz w:val="18"/>
                <w:szCs w:val="18"/>
              </w:rPr>
              <w:t xml:space="preserve">(Proposed — under development)</w:t>
            </w:r>
          </w:p>
        </w:tc>
        <w:tc>
          <w:tcPr>
            <w:tcW w:type="dxa" w:w="1840"/>
          </w:tcPr>
          <w:p>
            <w:r>
              <w:rPr>
                <w:rFonts w:ascii="Times New Roman" w:cs="Times New Roman" w:eastAsia="Times New Roman" w:hAnsi="Times New Roman"/>
                <w:sz w:val="18"/>
                <w:szCs w:val="18"/>
              </w:rPr>
              <w:t xml:space="preserve">This paper's contribution</w:t>
            </w:r>
          </w:p>
        </w:tc>
      </w:tr>
    </w:tbl>
    <w:p>
      <w:pPr>
        <w:spacing w:after="80" w:before="80"/>
      </w:pPr>
    </w:p>
    <w:p>
      <w:pPr>
        <w:spacing w:after="80" w:before="80" w:line="360"/>
        <w:jc w:val="both"/>
      </w:pPr>
      <w:r>
        <w:rPr>
          <w:rFonts w:ascii="Times New Roman" w:cs="Times New Roman" w:eastAsia="Times New Roman" w:hAnsi="Times New Roman"/>
          <w:sz w:val="22"/>
          <w:szCs w:val="22"/>
        </w:rPr>
        <w:t xml:space="preserve">Table 1: Comparative summary of related works vs. TransformoDocs.</w:t>
      </w:r>
    </w:p>
    <w:p>
      <w:pPr>
        <w:pStyle w:val="Heading1"/>
        <w:spacing w:after="160" w:before="320"/>
      </w:pPr>
      <w:r>
        <w:t xml:space="preserve">4. TransformoDocs: Proposed System</w:t>
      </w:r>
    </w:p>
    <w:p>
      <w:pPr>
        <w:pStyle w:val="Heading2"/>
        <w:spacing w:after="120" w:before="240"/>
      </w:pPr>
      <w:r>
        <w:t xml:space="preserve">4.1 Problem Statement</w:t>
      </w:r>
    </w:p>
    <w:p>
      <w:pPr>
        <w:spacing w:after="80" w:before="80" w:line="360"/>
        <w:jc w:val="both"/>
      </w:pPr>
      <w:r>
        <w:rPr>
          <w:rFonts w:ascii="Times New Roman" w:cs="Times New Roman" w:eastAsia="Times New Roman" w:hAnsi="Times New Roman"/>
          <w:sz w:val="22"/>
          <w:szCs w:val="22"/>
        </w:rPr>
        <w:t xml:space="preserve">Engineering teams maintain documentation across multiple formats — PDFs (research papers, compliance docs), DOCX (specifications, reports), Markdown (wikis, READMEs), and source code. Existing solutions either (a) index only a single format, (b) return document snippets without synthesis, or (c) require large infrastructure budgets. No existing open-source or affordable solution provides a unified, citation-grounded, multi-format answer engine tuned for the Indian academic and SME engineering context.</w:t>
      </w:r>
    </w:p>
    <w:p>
      <w:pPr>
        <w:pStyle w:val="Heading2"/>
        <w:spacing w:after="120" w:before="240"/>
      </w:pPr>
      <w:r>
        <w:t xml:space="preserve">4.2 System Architecture</w:t>
      </w:r>
    </w:p>
    <w:p>
      <w:pPr>
        <w:spacing w:after="80" w:before="80" w:line="360"/>
        <w:jc w:val="both"/>
      </w:pPr>
      <w:r>
        <w:rPr>
          <w:rFonts w:ascii="Times New Roman" w:cs="Times New Roman" w:eastAsia="Times New Roman" w:hAnsi="Times New Roman"/>
          <w:sz w:val="22"/>
          <w:szCs w:val="22"/>
        </w:rPr>
        <w:t xml:space="preserve">TransformoDocs is a full-stack MERN application with the following pipeline:</w:t>
      </w:r>
    </w:p>
    <w:p>
      <w:pPr>
        <w:pStyle w:val="ListParagraph"/>
        <w:numPr>
          <w:ilvl w:val="0"/>
          <w:numId w:val="1"/>
        </w:numPr>
        <w:spacing w:after="60" w:before="60"/>
      </w:pPr>
      <w:r>
        <w:rPr>
          <w:rFonts w:ascii="Times New Roman" w:cs="Times New Roman" w:eastAsia="Times New Roman" w:hAnsi="Times New Roman"/>
          <w:sz w:val="22"/>
          <w:szCs w:val="22"/>
        </w:rPr>
        <w:t xml:space="preserve">Document Ingestion Layer: Accepts PDF, DOCX, Markdown, TXT, and code files. Uses pdf-parse, mammoth (DOCX), and remark (Markdown) for extraction.</w:t>
      </w:r>
    </w:p>
    <w:p>
      <w:pPr>
        <w:pStyle w:val="ListParagraph"/>
        <w:numPr>
          <w:ilvl w:val="0"/>
          <w:numId w:val="1"/>
        </w:numPr>
        <w:spacing w:after="60" w:before="60"/>
      </w:pPr>
      <w:r>
        <w:rPr>
          <w:rFonts w:ascii="Times New Roman" w:cs="Times New Roman" w:eastAsia="Times New Roman" w:hAnsi="Times New Roman"/>
          <w:sz w:val="22"/>
          <w:szCs w:val="22"/>
        </w:rPr>
        <w:t xml:space="preserve">Preprocessing Pipeline: Text cleaning, metadata extraction (title, section headings, page number), sentence segmentation, and semantic chunking at paragraph/function boundary granularity.</w:t>
      </w:r>
    </w:p>
    <w:p>
      <w:pPr>
        <w:pStyle w:val="ListParagraph"/>
        <w:numPr>
          <w:ilvl w:val="0"/>
          <w:numId w:val="1"/>
        </w:numPr>
        <w:spacing w:after="60" w:before="60"/>
      </w:pPr>
      <w:r>
        <w:rPr>
          <w:rFonts w:ascii="Times New Roman" w:cs="Times New Roman" w:eastAsia="Times New Roman" w:hAnsi="Times New Roman"/>
          <w:sz w:val="22"/>
          <w:szCs w:val="22"/>
        </w:rPr>
        <w:t xml:space="preserve">Embedding &amp; Indexing: Chunks are encoded using a sentence-transformer model (e.g., all-MiniLM-L6-v2 or text-embedding-3-small via OpenAI API). Stored in a local Qdrant or FAISS vector index.</w:t>
      </w:r>
    </w:p>
    <w:p>
      <w:pPr>
        <w:pStyle w:val="ListParagraph"/>
        <w:numPr>
          <w:ilvl w:val="0"/>
          <w:numId w:val="1"/>
        </w:numPr>
        <w:spacing w:after="60" w:before="60"/>
      </w:pPr>
      <w:r>
        <w:rPr>
          <w:rFonts w:ascii="Times New Roman" w:cs="Times New Roman" w:eastAsia="Times New Roman" w:hAnsi="Times New Roman"/>
          <w:sz w:val="22"/>
          <w:szCs w:val="22"/>
        </w:rPr>
        <w:t xml:space="preserve">Hybrid Retrieval: BM25 sparse retrieval combined with dense vector search. Results re-ranked by a cross-encoder for precision.</w:t>
      </w:r>
    </w:p>
    <w:p>
      <w:pPr>
        <w:pStyle w:val="ListParagraph"/>
        <w:numPr>
          <w:ilvl w:val="0"/>
          <w:numId w:val="1"/>
        </w:numPr>
        <w:spacing w:after="60" w:before="60"/>
      </w:pPr>
      <w:r>
        <w:rPr>
          <w:rFonts w:ascii="Times New Roman" w:cs="Times New Roman" w:eastAsia="Times New Roman" w:hAnsi="Times New Roman"/>
          <w:sz w:val="22"/>
          <w:szCs w:val="22"/>
        </w:rPr>
        <w:t xml:space="preserve">LLM Answer Generation: Top-k retrieved chunks passed to GPT-3.5-turbo or Gemini Flash with a grounded prompt. Response includes citations to source documents.</w:t>
      </w:r>
    </w:p>
    <w:p>
      <w:pPr>
        <w:pStyle w:val="ListParagraph"/>
        <w:numPr>
          <w:ilvl w:val="0"/>
          <w:numId w:val="1"/>
        </w:numPr>
        <w:spacing w:after="60" w:before="60"/>
      </w:pPr>
      <w:r>
        <w:rPr>
          <w:rFonts w:ascii="Times New Roman" w:cs="Times New Roman" w:eastAsia="Times New Roman" w:hAnsi="Times New Roman"/>
          <w:sz w:val="22"/>
          <w:szCs w:val="22"/>
        </w:rPr>
        <w:t xml:space="preserve">React Frontend: Query bar, document upload, source preview panel, and conversation history.</w:t>
      </w:r>
    </w:p>
    <w:p>
      <w:pPr>
        <w:pStyle w:val="ListParagraph"/>
        <w:numPr>
          <w:ilvl w:val="0"/>
          <w:numId w:val="1"/>
        </w:numPr>
        <w:spacing w:after="60" w:before="60"/>
      </w:pPr>
      <w:r>
        <w:rPr>
          <w:rFonts w:ascii="Times New Roman" w:cs="Times New Roman" w:eastAsia="Times New Roman" w:hAnsi="Times New Roman"/>
          <w:sz w:val="22"/>
          <w:szCs w:val="22"/>
        </w:rPr>
        <w:t xml:space="preserve">Auth &amp; Storage: JWT authentication, MongoDB for user sessions and document metadata, file storage on local disk or S3-compatible bucket.</w:t>
      </w:r>
    </w:p>
    <w:p>
      <w:pPr>
        <w:pStyle w:val="Heading2"/>
        <w:spacing w:after="120" w:before="240"/>
      </w:pPr>
      <w:r>
        <w:t xml:space="preserve">4.3 Differentiation from Prior Work</w:t>
      </w:r>
    </w:p>
    <w:p>
      <w:pPr>
        <w:spacing w:after="80" w:before="80" w:line="360"/>
        <w:jc w:val="both"/>
      </w:pPr>
      <w:r>
        <w:rPr>
          <w:rFonts w:ascii="Times New Roman" w:cs="Times New Roman" w:eastAsia="Times New Roman" w:hAnsi="Times New Roman"/>
          <w:sz w:val="22"/>
          <w:szCs w:val="22"/>
        </w:rPr>
        <w:t xml:space="preserve">TransformoDocs is differentiated across five axes:</w:t>
      </w:r>
    </w:p>
    <w:p>
      <w:pPr>
        <w:pStyle w:val="ListParagraph"/>
        <w:numPr>
          <w:ilvl w:val="0"/>
          <w:numId w:val="1"/>
        </w:numPr>
        <w:spacing w:after="60" w:before="60"/>
      </w:pPr>
      <w:r>
        <w:rPr>
          <w:rFonts w:ascii="Times New Roman" w:cs="Times New Roman" w:eastAsia="Times New Roman" w:hAnsi="Times New Roman"/>
          <w:sz w:val="22"/>
          <w:szCs w:val="22"/>
        </w:rPr>
        <w:t xml:space="preserve">Format Breadth: Unlike CODERAG-BENCH (code only) and NagrikAI (curated government text), TransformoDocs handles arbitrary user-uploaded multi-format corpora.</w:t>
      </w:r>
    </w:p>
    <w:p>
      <w:pPr>
        <w:pStyle w:val="ListParagraph"/>
        <w:numPr>
          <w:ilvl w:val="0"/>
          <w:numId w:val="1"/>
        </w:numPr>
        <w:spacing w:after="60" w:before="60"/>
      </w:pPr>
      <w:r>
        <w:rPr>
          <w:rFonts w:ascii="Times New Roman" w:cs="Times New Roman" w:eastAsia="Times New Roman" w:hAnsi="Times New Roman"/>
          <w:sz w:val="22"/>
          <w:szCs w:val="22"/>
        </w:rPr>
        <w:t xml:space="preserve">Citation Grounding: Every answer references specific document chunks, enabling verifiable, trustworthy responses — not available in standard LLM chat interfaces.</w:t>
      </w:r>
    </w:p>
    <w:p>
      <w:pPr>
        <w:pStyle w:val="ListParagraph"/>
        <w:numPr>
          <w:ilvl w:val="0"/>
          <w:numId w:val="1"/>
        </w:numPr>
        <w:spacing w:after="60" w:before="60"/>
      </w:pPr>
      <w:r>
        <w:rPr>
          <w:rFonts w:ascii="Times New Roman" w:cs="Times New Roman" w:eastAsia="Times New Roman" w:hAnsi="Times New Roman"/>
          <w:sz w:val="22"/>
          <w:szCs w:val="22"/>
        </w:rPr>
        <w:t xml:space="preserve">Hybrid Retrieval: We address the core failure mode Wang et al. identify — retrievers fetching irrelevant context — through BM25 + dense + cross-encoder re-ranking.</w:t>
      </w:r>
    </w:p>
    <w:p>
      <w:pPr>
        <w:pStyle w:val="ListParagraph"/>
        <w:numPr>
          <w:ilvl w:val="0"/>
          <w:numId w:val="1"/>
        </w:numPr>
        <w:spacing w:after="60" w:before="60"/>
      </w:pPr>
      <w:r>
        <w:rPr>
          <w:rFonts w:ascii="Times New Roman" w:cs="Times New Roman" w:eastAsia="Times New Roman" w:hAnsi="Times New Roman"/>
          <w:sz w:val="22"/>
          <w:szCs w:val="22"/>
        </w:rPr>
        <w:t xml:space="preserve">Lightweight Deployment: Designed to run on a single server or laptop without GPU, using quantized embeddings and API-based LLM calls — suitable for student and SME deployments.</w:t>
      </w:r>
    </w:p>
    <w:p>
      <w:pPr>
        <w:pStyle w:val="ListParagraph"/>
        <w:numPr>
          <w:ilvl w:val="0"/>
          <w:numId w:val="1"/>
        </w:numPr>
        <w:spacing w:after="60" w:before="60"/>
      </w:pPr>
      <w:r>
        <w:rPr>
          <w:rFonts w:ascii="Times New Roman" w:cs="Times New Roman" w:eastAsia="Times New Roman" w:hAnsi="Times New Roman"/>
          <w:sz w:val="22"/>
          <w:szCs w:val="22"/>
        </w:rPr>
        <w:t xml:space="preserve">SPPU Academic Alignment: Structured around the academic calendar, with a two-semester delivery plan meeting Stage I (Sem 7) and Stage II (Sem 8) SPPU milestones.</w:t>
      </w:r>
    </w:p>
    <w:p>
      <w:pPr>
        <w:pStyle w:val="Heading1"/>
        <w:spacing w:after="160" w:before="320"/>
      </w:pPr>
      <w:r>
        <w:t xml:space="preserve">5. Execution Timeline</w:t>
      </w:r>
    </w:p>
    <w:p>
      <w:pPr>
        <w:spacing w:after="80" w:before="80" w:line="360"/>
        <w:jc w:val="both"/>
      </w:pPr>
      <w:r>
        <w:rPr>
          <w:rFonts w:ascii="Times New Roman" w:cs="Times New Roman" w:eastAsia="Times New Roman" w:hAnsi="Times New Roman"/>
          <w:sz w:val="22"/>
          <w:szCs w:val="22"/>
        </w:rPr>
        <w:t xml:space="preserve">The project follows SPPU's two-semester academic calendar for final-year projects:</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400"/>
        <w:gridCol w:w="2400"/>
      </w:tblGrid>
      <w:tr>
        <w:trPr>
          <w:tblHeader/>
        </w:trPr>
        <w:tc>
          <w:tcPr>
            <w:tcW w:type="dxa" w:w="2300"/>
            <w:shd w:color="CCCCCC" w:val="clear"/>
          </w:tcPr>
          <w:p>
            <w:r>
              <w:rPr>
                <w:rFonts w:ascii="Times New Roman" w:cs="Times New Roman" w:eastAsia="Times New Roman" w:hAnsi="Times New Roman"/>
                <w:b/>
                <w:bCs/>
                <w:sz w:val="18"/>
                <w:szCs w:val="18"/>
              </w:rPr>
              <w:t xml:space="preserve">Phase</w:t>
            </w:r>
          </w:p>
        </w:tc>
        <w:tc>
          <w:tcPr>
            <w:tcW w:type="dxa" w:w="2300"/>
            <w:shd w:color="CCCCCC" w:val="clear"/>
          </w:tcPr>
          <w:p>
            <w:r>
              <w:rPr>
                <w:rFonts w:ascii="Times New Roman" w:cs="Times New Roman" w:eastAsia="Times New Roman" w:hAnsi="Times New Roman"/>
                <w:b/>
                <w:bCs/>
                <w:sz w:val="18"/>
                <w:szCs w:val="18"/>
              </w:rPr>
              <w:t xml:space="preserve">Timeline</w:t>
            </w:r>
          </w:p>
        </w:tc>
        <w:tc>
          <w:tcPr>
            <w:tcW w:type="dxa" w:w="2300"/>
            <w:shd w:color="CCCCCC" w:val="clear"/>
          </w:tcPr>
          <w:p>
            <w:r>
              <w:rPr>
                <w:rFonts w:ascii="Times New Roman" w:cs="Times New Roman" w:eastAsia="Times New Roman" w:hAnsi="Times New Roman"/>
                <w:b/>
                <w:bCs/>
                <w:sz w:val="18"/>
                <w:szCs w:val="18"/>
              </w:rPr>
              <w:t xml:space="preserve">Deliverables</w:t>
            </w:r>
          </w:p>
        </w:tc>
        <w:tc>
          <w:tcPr>
            <w:tcW w:type="dxa" w:w="2300"/>
            <w:shd w:color="CCCCCC" w:val="clear"/>
          </w:tcPr>
          <w:p>
            <w:r>
              <w:rPr>
                <w:rFonts w:ascii="Times New Roman" w:cs="Times New Roman" w:eastAsia="Times New Roman" w:hAnsi="Times New Roman"/>
                <w:b/>
                <w:bCs/>
                <w:sz w:val="18"/>
                <w:szCs w:val="18"/>
              </w:rPr>
              <w:t xml:space="preserve">Success Criteria</w:t>
            </w:r>
          </w:p>
        </w:tc>
      </w:tr>
      <w:tr>
        <w:tc>
          <w:tcPr>
            <w:tcW w:type="dxa" w:w="1400"/>
          </w:tcPr>
          <w:p>
            <w:r>
              <w:rPr>
                <w:rFonts w:ascii="Times New Roman" w:cs="Times New Roman" w:eastAsia="Times New Roman" w:hAnsi="Times New Roman"/>
                <w:sz w:val="18"/>
                <w:szCs w:val="18"/>
              </w:rPr>
              <w:t xml:space="preserve">Phase 0 — Research &amp; Design</w:t>
            </w:r>
          </w:p>
        </w:tc>
        <w:tc>
          <w:tcPr>
            <w:tcW w:type="dxa" w:w="2000"/>
          </w:tcPr>
          <w:p>
            <w:r>
              <w:rPr>
                <w:rFonts w:ascii="Times New Roman" w:cs="Times New Roman" w:eastAsia="Times New Roman" w:hAnsi="Times New Roman"/>
                <w:sz w:val="18"/>
                <w:szCs w:val="18"/>
              </w:rPr>
              <w:t xml:space="preserve">July – Aug 2025</w:t>
            </w:r>
          </w:p>
        </w:tc>
        <w:tc>
          <w:tcPr>
            <w:tcW w:type="dxa" w:w="3400"/>
          </w:tcPr>
          <w:p>
            <w:r>
              <w:rPr>
                <w:rFonts w:ascii="Times New Roman" w:cs="Times New Roman" w:eastAsia="Times New Roman" w:hAnsi="Times New Roman"/>
                <w:sz w:val="18"/>
                <w:szCs w:val="18"/>
              </w:rPr>
              <w:t xml:space="preserve">Literature review (this paper), problem statement, tech stack finalization, architecture diagram</w:t>
            </w:r>
          </w:p>
        </w:tc>
        <w:tc>
          <w:tcPr>
            <w:tcW w:type="dxa" w:w="2400"/>
          </w:tcPr>
          <w:p>
            <w:r>
              <w:rPr>
                <w:rFonts w:ascii="Times New Roman" w:cs="Times New Roman" w:eastAsia="Times New Roman" w:hAnsi="Times New Roman"/>
                <w:sz w:val="18"/>
                <w:szCs w:val="18"/>
              </w:rPr>
              <w:t xml:space="preserve">Review paper submitted; supervisor sign-off on architecture</w:t>
            </w:r>
          </w:p>
        </w:tc>
      </w:tr>
      <w:tr>
        <w:tc>
          <w:tcPr>
            <w:tcW w:type="dxa" w:w="1400"/>
          </w:tcPr>
          <w:p>
            <w:r>
              <w:rPr>
                <w:rFonts w:ascii="Times New Roman" w:cs="Times New Roman" w:eastAsia="Times New Roman" w:hAnsi="Times New Roman"/>
                <w:sz w:val="18"/>
                <w:szCs w:val="18"/>
              </w:rPr>
              <w:t xml:space="preserve">Phase 1 — Document Ingestion</w:t>
            </w:r>
          </w:p>
        </w:tc>
        <w:tc>
          <w:tcPr>
            <w:tcW w:type="dxa" w:w="2000"/>
          </w:tcPr>
          <w:p>
            <w:r>
              <w:rPr>
                <w:rFonts w:ascii="Times New Roman" w:cs="Times New Roman" w:eastAsia="Times New Roman" w:hAnsi="Times New Roman"/>
                <w:sz w:val="18"/>
                <w:szCs w:val="18"/>
              </w:rPr>
              <w:t xml:space="preserve">Sep 2025</w:t>
            </w:r>
          </w:p>
        </w:tc>
        <w:tc>
          <w:tcPr>
            <w:tcW w:type="dxa" w:w="3400"/>
          </w:tcPr>
          <w:p>
            <w:r>
              <w:rPr>
                <w:rFonts w:ascii="Times New Roman" w:cs="Times New Roman" w:eastAsia="Times New Roman" w:hAnsi="Times New Roman"/>
                <w:sz w:val="18"/>
                <w:szCs w:val="18"/>
              </w:rPr>
              <w:t xml:space="preserve">PDF/DOCX/MD parsers, chunking pipeline, metadata extraction module</w:t>
            </w:r>
          </w:p>
        </w:tc>
        <w:tc>
          <w:tcPr>
            <w:tcW w:type="dxa" w:w="2400"/>
          </w:tcPr>
          <w:p>
            <w:r>
              <w:rPr>
                <w:rFonts w:ascii="Times New Roman" w:cs="Times New Roman" w:eastAsia="Times New Roman" w:hAnsi="Times New Roman"/>
                <w:sz w:val="18"/>
                <w:szCs w:val="18"/>
              </w:rPr>
              <w:t xml:space="preserve">Ingests 100 test docs without errors; chunks stored in DB</w:t>
            </w:r>
          </w:p>
        </w:tc>
      </w:tr>
      <w:tr>
        <w:tc>
          <w:tcPr>
            <w:tcW w:type="dxa" w:w="1400"/>
          </w:tcPr>
          <w:p>
            <w:r>
              <w:rPr>
                <w:rFonts w:ascii="Times New Roman" w:cs="Times New Roman" w:eastAsia="Times New Roman" w:hAnsi="Times New Roman"/>
                <w:sz w:val="18"/>
                <w:szCs w:val="18"/>
              </w:rPr>
              <w:t xml:space="preserve">Phase 2 — Embedding &amp; Index</w:t>
            </w:r>
          </w:p>
        </w:tc>
        <w:tc>
          <w:tcPr>
            <w:tcW w:type="dxa" w:w="2000"/>
          </w:tcPr>
          <w:p>
            <w:r>
              <w:rPr>
                <w:rFonts w:ascii="Times New Roman" w:cs="Times New Roman" w:eastAsia="Times New Roman" w:hAnsi="Times New Roman"/>
                <w:sz w:val="18"/>
                <w:szCs w:val="18"/>
              </w:rPr>
              <w:t xml:space="preserve">Oct 2025</w:t>
            </w:r>
          </w:p>
        </w:tc>
        <w:tc>
          <w:tcPr>
            <w:tcW w:type="dxa" w:w="3400"/>
          </w:tcPr>
          <w:p>
            <w:r>
              <w:rPr>
                <w:rFonts w:ascii="Times New Roman" w:cs="Times New Roman" w:eastAsia="Times New Roman" w:hAnsi="Times New Roman"/>
                <w:sz w:val="18"/>
                <w:szCs w:val="18"/>
              </w:rPr>
              <w:t xml:space="preserve">Embedding pipeline, vector index (FAISS/Qdrant), BM25 index, retrieval API</w:t>
            </w:r>
          </w:p>
        </w:tc>
        <w:tc>
          <w:tcPr>
            <w:tcW w:type="dxa" w:w="2400"/>
          </w:tcPr>
          <w:p>
            <w:r>
              <w:rPr>
                <w:rFonts w:ascii="Times New Roman" w:cs="Times New Roman" w:eastAsia="Times New Roman" w:hAnsi="Times New Roman"/>
                <w:sz w:val="18"/>
                <w:szCs w:val="18"/>
              </w:rPr>
              <w:t xml:space="preserve">Top-5 retrieval MRR &gt; 0.6 on internal test set</w:t>
            </w:r>
          </w:p>
        </w:tc>
      </w:tr>
      <w:tr>
        <w:tc>
          <w:tcPr>
            <w:tcW w:type="dxa" w:w="1400"/>
          </w:tcPr>
          <w:p>
            <w:r>
              <w:rPr>
                <w:rFonts w:ascii="Times New Roman" w:cs="Times New Roman" w:eastAsia="Times New Roman" w:hAnsi="Times New Roman"/>
                <w:sz w:val="18"/>
                <w:szCs w:val="18"/>
              </w:rPr>
              <w:t xml:space="preserve">Phase 3 — LLM Integration</w:t>
            </w:r>
          </w:p>
        </w:tc>
        <w:tc>
          <w:tcPr>
            <w:tcW w:type="dxa" w:w="2000"/>
          </w:tcPr>
          <w:p>
            <w:r>
              <w:rPr>
                <w:rFonts w:ascii="Times New Roman" w:cs="Times New Roman" w:eastAsia="Times New Roman" w:hAnsi="Times New Roman"/>
                <w:sz w:val="18"/>
                <w:szCs w:val="18"/>
              </w:rPr>
              <w:t xml:space="preserve">Nov 2025 (Sem 7 Stage I)</w:t>
            </w:r>
          </w:p>
        </w:tc>
        <w:tc>
          <w:tcPr>
            <w:tcW w:type="dxa" w:w="3400"/>
          </w:tcPr>
          <w:p>
            <w:r>
              <w:rPr>
                <w:rFonts w:ascii="Times New Roman" w:cs="Times New Roman" w:eastAsia="Times New Roman" w:hAnsi="Times New Roman"/>
                <w:sz w:val="18"/>
                <w:szCs w:val="18"/>
              </w:rPr>
              <w:t xml:space="preserve">RAG prompt pipeline, answer generation, citation extraction, Sem 7 report</w:t>
            </w:r>
          </w:p>
        </w:tc>
        <w:tc>
          <w:tcPr>
            <w:tcW w:type="dxa" w:w="2400"/>
          </w:tcPr>
          <w:p>
            <w:r>
              <w:rPr>
                <w:rFonts w:ascii="Times New Roman" w:cs="Times New Roman" w:eastAsia="Times New Roman" w:hAnsi="Times New Roman"/>
                <w:sz w:val="18"/>
                <w:szCs w:val="18"/>
              </w:rPr>
              <w:t xml:space="preserve">Stage I demo; cited answers pass manual evaluation</w:t>
            </w:r>
          </w:p>
        </w:tc>
      </w:tr>
      <w:tr>
        <w:tc>
          <w:tcPr>
            <w:tcW w:type="dxa" w:w="1400"/>
          </w:tcPr>
          <w:p>
            <w:r>
              <w:rPr>
                <w:rFonts w:ascii="Times New Roman" w:cs="Times New Roman" w:eastAsia="Times New Roman" w:hAnsi="Times New Roman"/>
                <w:sz w:val="18"/>
                <w:szCs w:val="18"/>
              </w:rPr>
              <w:t xml:space="preserve">Phase 4 — Frontend &amp; Auth</w:t>
            </w:r>
          </w:p>
        </w:tc>
        <w:tc>
          <w:tcPr>
            <w:tcW w:type="dxa" w:w="2000"/>
          </w:tcPr>
          <w:p>
            <w:r>
              <w:rPr>
                <w:rFonts w:ascii="Times New Roman" w:cs="Times New Roman" w:eastAsia="Times New Roman" w:hAnsi="Times New Roman"/>
                <w:sz w:val="18"/>
                <w:szCs w:val="18"/>
              </w:rPr>
              <w:t xml:space="preserve">Dec 2025 – Jan 2026</w:t>
            </w:r>
          </w:p>
        </w:tc>
        <w:tc>
          <w:tcPr>
            <w:tcW w:type="dxa" w:w="3400"/>
          </w:tcPr>
          <w:p>
            <w:r>
              <w:rPr>
                <w:rFonts w:ascii="Times New Roman" w:cs="Times New Roman" w:eastAsia="Times New Roman" w:hAnsi="Times New Roman"/>
                <w:sz w:val="18"/>
                <w:szCs w:val="18"/>
              </w:rPr>
              <w:t xml:space="preserve">React UI, document upload, query interface, JWT auth, MongoDB integration</w:t>
            </w:r>
          </w:p>
        </w:tc>
        <w:tc>
          <w:tcPr>
            <w:tcW w:type="dxa" w:w="2400"/>
          </w:tcPr>
          <w:p>
            <w:r>
              <w:rPr>
                <w:rFonts w:ascii="Times New Roman" w:cs="Times New Roman" w:eastAsia="Times New Roman" w:hAnsi="Times New Roman"/>
                <w:sz w:val="18"/>
                <w:szCs w:val="18"/>
              </w:rPr>
              <w:t xml:space="preserve">End-to-end demo with 3 test users</w:t>
            </w:r>
          </w:p>
        </w:tc>
      </w:tr>
      <w:tr>
        <w:tc>
          <w:tcPr>
            <w:tcW w:type="dxa" w:w="1400"/>
          </w:tcPr>
          <w:p>
            <w:r>
              <w:rPr>
                <w:rFonts w:ascii="Times New Roman" w:cs="Times New Roman" w:eastAsia="Times New Roman" w:hAnsi="Times New Roman"/>
                <w:sz w:val="18"/>
                <w:szCs w:val="18"/>
              </w:rPr>
              <w:t xml:space="preserve">Phase 5 — Hybrid Retrieval + Re-rank</w:t>
            </w:r>
          </w:p>
        </w:tc>
        <w:tc>
          <w:tcPr>
            <w:tcW w:type="dxa" w:w="2000"/>
          </w:tcPr>
          <w:p>
            <w:r>
              <w:rPr>
                <w:rFonts w:ascii="Times New Roman" w:cs="Times New Roman" w:eastAsia="Times New Roman" w:hAnsi="Times New Roman"/>
                <w:sz w:val="18"/>
                <w:szCs w:val="18"/>
              </w:rPr>
              <w:t xml:space="preserve">Feb 2026</w:t>
            </w:r>
          </w:p>
        </w:tc>
        <w:tc>
          <w:tcPr>
            <w:tcW w:type="dxa" w:w="3400"/>
          </w:tcPr>
          <w:p>
            <w:r>
              <w:rPr>
                <w:rFonts w:ascii="Times New Roman" w:cs="Times New Roman" w:eastAsia="Times New Roman" w:hAnsi="Times New Roman"/>
                <w:sz w:val="18"/>
                <w:szCs w:val="18"/>
              </w:rPr>
              <w:t xml:space="preserve">BM25 + dense fusion, cross-encoder re-ranker, evaluation harness</w:t>
            </w:r>
          </w:p>
        </w:tc>
        <w:tc>
          <w:tcPr>
            <w:tcW w:type="dxa" w:w="2400"/>
          </w:tcPr>
          <w:p>
            <w:r>
              <w:rPr>
                <w:rFonts w:ascii="Times New Roman" w:cs="Times New Roman" w:eastAsia="Times New Roman" w:hAnsi="Times New Roman"/>
                <w:sz w:val="18"/>
                <w:szCs w:val="18"/>
              </w:rPr>
              <w:t xml:space="preserve">MRR improves ≥ 15% over dense-only baseline</w:t>
            </w:r>
          </w:p>
        </w:tc>
      </w:tr>
      <w:tr>
        <w:tc>
          <w:tcPr>
            <w:tcW w:type="dxa" w:w="1400"/>
          </w:tcPr>
          <w:p>
            <w:r>
              <w:rPr>
                <w:rFonts w:ascii="Times New Roman" w:cs="Times New Roman" w:eastAsia="Times New Roman" w:hAnsi="Times New Roman"/>
                <w:sz w:val="18"/>
                <w:szCs w:val="18"/>
              </w:rPr>
              <w:t xml:space="preserve">Phase 6 — Testing &amp; Hardening</w:t>
            </w:r>
          </w:p>
        </w:tc>
        <w:tc>
          <w:tcPr>
            <w:tcW w:type="dxa" w:w="2000"/>
          </w:tcPr>
          <w:p>
            <w:r>
              <w:rPr>
                <w:rFonts w:ascii="Times New Roman" w:cs="Times New Roman" w:eastAsia="Times New Roman" w:hAnsi="Times New Roman"/>
                <w:sz w:val="18"/>
                <w:szCs w:val="18"/>
              </w:rPr>
              <w:t xml:space="preserve">Mar 2026</w:t>
            </w:r>
          </w:p>
        </w:tc>
        <w:tc>
          <w:tcPr>
            <w:tcW w:type="dxa" w:w="3400"/>
          </w:tcPr>
          <w:p>
            <w:r>
              <w:rPr>
                <w:rFonts w:ascii="Times New Roman" w:cs="Times New Roman" w:eastAsia="Times New Roman" w:hAnsi="Times New Roman"/>
                <w:sz w:val="18"/>
                <w:szCs w:val="18"/>
              </w:rPr>
              <w:t xml:space="preserve">Unit tests, integration tests, security audit, performance profiling</w:t>
            </w:r>
          </w:p>
        </w:tc>
        <w:tc>
          <w:tcPr>
            <w:tcW w:type="dxa" w:w="2400"/>
          </w:tcPr>
          <w:p>
            <w:r>
              <w:rPr>
                <w:rFonts w:ascii="Times New Roman" w:cs="Times New Roman" w:eastAsia="Times New Roman" w:hAnsi="Times New Roman"/>
                <w:sz w:val="18"/>
                <w:szCs w:val="18"/>
              </w:rPr>
              <w:t xml:space="preserve">P95 query latency &lt; 3s; 0 critical security issues</w:t>
            </w:r>
          </w:p>
        </w:tc>
      </w:tr>
      <w:tr>
        <w:tc>
          <w:tcPr>
            <w:tcW w:type="dxa" w:w="1400"/>
          </w:tcPr>
          <w:p>
            <w:r>
              <w:rPr>
                <w:rFonts w:ascii="Times New Roman" w:cs="Times New Roman" w:eastAsia="Times New Roman" w:hAnsi="Times New Roman"/>
                <w:sz w:val="18"/>
                <w:szCs w:val="18"/>
              </w:rPr>
              <w:t xml:space="preserve">Phase 7 — Deployment &amp; Sem 8 Submission</w:t>
            </w:r>
          </w:p>
        </w:tc>
        <w:tc>
          <w:tcPr>
            <w:tcW w:type="dxa" w:w="2000"/>
          </w:tcPr>
          <w:p>
            <w:r>
              <w:rPr>
                <w:rFonts w:ascii="Times New Roman" w:cs="Times New Roman" w:eastAsia="Times New Roman" w:hAnsi="Times New Roman"/>
                <w:sz w:val="18"/>
                <w:szCs w:val="18"/>
              </w:rPr>
              <w:t xml:space="preserve">Apr – May 2026</w:t>
            </w:r>
          </w:p>
        </w:tc>
        <w:tc>
          <w:tcPr>
            <w:tcW w:type="dxa" w:w="3400"/>
          </w:tcPr>
          <w:p>
            <w:r>
              <w:rPr>
                <w:rFonts w:ascii="Times New Roman" w:cs="Times New Roman" w:eastAsia="Times New Roman" w:hAnsi="Times New Roman"/>
                <w:sz w:val="18"/>
                <w:szCs w:val="18"/>
              </w:rPr>
              <w:t xml:space="preserve">Docker containerization, deployment, Sem 8 final report and presentation</w:t>
            </w:r>
          </w:p>
        </w:tc>
        <w:tc>
          <w:tcPr>
            <w:tcW w:type="dxa" w:w="2400"/>
          </w:tcPr>
          <w:p>
            <w:r>
              <w:rPr>
                <w:rFonts w:ascii="Times New Roman" w:cs="Times New Roman" w:eastAsia="Times New Roman" w:hAnsi="Times New Roman"/>
                <w:sz w:val="18"/>
                <w:szCs w:val="18"/>
              </w:rPr>
              <w:t xml:space="preserve">Live demo, final paper, SPPU Stage II submission</w:t>
            </w:r>
          </w:p>
        </w:tc>
      </w:tr>
    </w:tbl>
    <w:p>
      <w:pPr>
        <w:spacing w:after="80" w:before="80"/>
      </w:pPr>
    </w:p>
    <w:p>
      <w:pPr>
        <w:spacing w:after="80" w:before="80" w:line="360"/>
        <w:jc w:val="both"/>
      </w:pPr>
      <w:r>
        <w:rPr>
          <w:rFonts w:ascii="Times New Roman" w:cs="Times New Roman" w:eastAsia="Times New Roman" w:hAnsi="Times New Roman"/>
          <w:sz w:val="22"/>
          <w:szCs w:val="22"/>
        </w:rPr>
        <w:t xml:space="preserve">Table 2: TransformoDocs phased execution timeline aligned with SPPU academic calendar.</w:t>
      </w:r>
    </w:p>
    <w:p>
      <w:pPr>
        <w:pStyle w:val="Heading1"/>
        <w:spacing w:after="160" w:before="320"/>
      </w:pPr>
      <w:r>
        <w:t xml:space="preserve">6. Feasibility Analysis</w:t>
      </w:r>
    </w:p>
    <w:p>
      <w:pPr>
        <w:pStyle w:val="Heading2"/>
        <w:spacing w:after="120" w:before="240"/>
      </w:pPr>
      <w:r>
        <w:t xml:space="preserve">6.1 Technical Feasibility</w:t>
      </w:r>
    </w:p>
    <w:p>
      <w:pPr>
        <w:spacing w:after="80" w:before="80" w:line="360"/>
        <w:jc w:val="both"/>
      </w:pPr>
      <w:r>
        <w:rPr>
          <w:rFonts w:ascii="Times New Roman" w:cs="Times New Roman" w:eastAsia="Times New Roman" w:hAnsi="Times New Roman"/>
          <w:sz w:val="22"/>
          <w:szCs w:val="22"/>
        </w:rPr>
        <w:t xml:space="preserve">The core technologies — MERN stack, sentence-transformers, FAISS/Qdrant, OpenAI/Gemini API — are production-grade, well-documented, and have active communities. The team has demonstrated prior experience with MERN, WebRTC, Socket.IO, Redis, and Docker through internship work. The primary technical risk is retrieval quality over heterogeneous formats; this is mitigated by the hybrid retrieval approach validated by CODERAG-BENCH findings.</w:t>
      </w:r>
    </w:p>
    <w:p>
      <w:pPr>
        <w:pStyle w:val="Heading2"/>
        <w:spacing w:after="120" w:before="240"/>
      </w:pPr>
      <w:r>
        <w:t xml:space="preserve">6.2 Resource Feasibility</w:t>
      </w:r>
    </w:p>
    <w:p>
      <w:pPr>
        <w:spacing w:after="80" w:before="80" w:line="360"/>
        <w:jc w:val="both"/>
      </w:pPr>
      <w:r>
        <w:rPr>
          <w:rFonts w:ascii="Times New Roman" w:cs="Times New Roman" w:eastAsia="Times New Roman" w:hAnsi="Times New Roman"/>
          <w:sz w:val="22"/>
          <w:szCs w:val="22"/>
        </w:rPr>
        <w:t xml:space="preserve">The system is designed to operate without a GPU. Embedding is performed via API calls (OpenAI text-embedding-3-small at ~$0.02/1M tokens) or locally using CPU-quantized all-MiniLM-L6-v2. A single 4-core, 8GB RAM server (available via student credits on AWS/GCP or a college lab machine) is sufficient for a demo-scale deployment of up to 10,000 document chunks.</w:t>
      </w:r>
    </w:p>
    <w:p>
      <w:pPr>
        <w:pStyle w:val="Heading2"/>
        <w:spacing w:after="120" w:before="240"/>
      </w:pPr>
      <w:r>
        <w:t xml:space="preserve">6.3 Risks and Mitigation</w:t>
      </w:r>
    </w:p>
    <w:p>
      <w:pPr>
        <w:spacing w:after="80" w:before="80" w:line="360"/>
        <w:jc w:val="both"/>
      </w:pPr>
      <w:r>
        <w:rPr>
          <w:rFonts w:ascii="Times New Roman" w:cs="Times New Roman" w:eastAsia="Times New Roman" w:hAnsi="Times New Roman"/>
          <w:sz w:val="22"/>
          <w:szCs w:val="22"/>
        </w:rPr>
        <w:t xml:space="preserve">The following table summarizes identified risks and mitigation strategies:</w:t>
      </w:r>
    </w:p>
    <w:p>
      <w:pPr>
        <w:spacing w:after="8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rPr>
          <w:tblHeader/>
        </w:trPr>
        <w:tc>
          <w:tcPr>
            <w:shd w:color="CCCCCC" w:val="clear"/>
          </w:tcPr>
          <w:p>
            <w:r>
              <w:rPr>
                <w:rFonts w:ascii="Times New Roman" w:cs="Times New Roman" w:eastAsia="Times New Roman" w:hAnsi="Times New Roman"/>
                <w:b/>
                <w:bCs/>
                <w:sz w:val="18"/>
                <w:szCs w:val="18"/>
              </w:rPr>
              <w:t xml:space="preserve">Risk</w:t>
            </w:r>
          </w:p>
        </w:tc>
        <w:tc>
          <w:tcPr>
            <w:shd w:color="CCCCCC" w:val="clear"/>
          </w:tcPr>
          <w:p>
            <w:r>
              <w:rPr>
                <w:rFonts w:ascii="Times New Roman" w:cs="Times New Roman" w:eastAsia="Times New Roman" w:hAnsi="Times New Roman"/>
                <w:b/>
                <w:bCs/>
                <w:sz w:val="18"/>
                <w:szCs w:val="18"/>
              </w:rPr>
              <w:t xml:space="preserve">Severity</w:t>
            </w:r>
          </w:p>
        </w:tc>
        <w:tc>
          <w:tcPr>
            <w:shd w:color="CCCCCC" w:val="clear"/>
          </w:tcPr>
          <w:p>
            <w:r>
              <w:rPr>
                <w:rFonts w:ascii="Times New Roman" w:cs="Times New Roman" w:eastAsia="Times New Roman" w:hAnsi="Times New Roman"/>
                <w:b/>
                <w:bCs/>
                <w:sz w:val="18"/>
                <w:szCs w:val="18"/>
              </w:rPr>
              <w:t xml:space="preserve">Mitigation</w:t>
            </w:r>
          </w:p>
        </w:tc>
      </w:tr>
      <w:tr>
        <w:tc>
          <w:p>
            <w:r>
              <w:rPr>
                <w:rFonts w:ascii="Times New Roman" w:cs="Times New Roman" w:eastAsia="Times New Roman" w:hAnsi="Times New Roman"/>
                <w:sz w:val="18"/>
                <w:szCs w:val="18"/>
              </w:rPr>
              <w:t xml:space="preserve">API cost overruns (OpenAI)</w:t>
            </w:r>
          </w:p>
        </w:tc>
        <w:tc>
          <w:p>
            <w:r>
              <w:rPr>
                <w:rFonts w:ascii="Times New Roman" w:cs="Times New Roman" w:eastAsia="Times New Roman" w:hAnsi="Times New Roman"/>
                <w:sz w:val="18"/>
                <w:szCs w:val="18"/>
              </w:rPr>
              <w:t xml:space="preserve">Medium</w:t>
            </w:r>
          </w:p>
        </w:tc>
        <w:tc>
          <w:p>
            <w:r>
              <w:rPr>
                <w:rFonts w:ascii="Times New Roman" w:cs="Times New Roman" w:eastAsia="Times New Roman" w:hAnsi="Times New Roman"/>
                <w:sz w:val="18"/>
                <w:szCs w:val="18"/>
              </w:rPr>
              <w:t xml:space="preserve">Use local embedding model for bulk indexing; API only for user queries. Set monthly budget alerts.</w:t>
            </w:r>
          </w:p>
        </w:tc>
      </w:tr>
      <w:tr>
        <w:tc>
          <w:p>
            <w:r>
              <w:rPr>
                <w:rFonts w:ascii="Times New Roman" w:cs="Times New Roman" w:eastAsia="Times New Roman" w:hAnsi="Times New Roman"/>
                <w:sz w:val="18"/>
                <w:szCs w:val="18"/>
              </w:rPr>
              <w:t xml:space="preserve">Poor retrieval on scanned PDFs</w:t>
            </w:r>
          </w:p>
        </w:tc>
        <w:tc>
          <w:p>
            <w:r>
              <w:rPr>
                <w:rFonts w:ascii="Times New Roman" w:cs="Times New Roman" w:eastAsia="Times New Roman" w:hAnsi="Times New Roman"/>
                <w:sz w:val="18"/>
                <w:szCs w:val="18"/>
              </w:rPr>
              <w:t xml:space="preserve">Medium</w:t>
            </w:r>
          </w:p>
        </w:tc>
        <w:tc>
          <w:p>
            <w:r>
              <w:rPr>
                <w:rFonts w:ascii="Times New Roman" w:cs="Times New Roman" w:eastAsia="Times New Roman" w:hAnsi="Times New Roman"/>
                <w:sz w:val="18"/>
                <w:szCs w:val="18"/>
              </w:rPr>
              <w:t xml:space="preserve">Integrate Tesseract OCR as a preprocessing fallback. Warn users about scanned-only PDFs.</w:t>
            </w:r>
          </w:p>
        </w:tc>
      </w:tr>
      <w:tr>
        <w:tc>
          <w:p>
            <w:r>
              <w:rPr>
                <w:rFonts w:ascii="Times New Roman" w:cs="Times New Roman" w:eastAsia="Times New Roman" w:hAnsi="Times New Roman"/>
                <w:sz w:val="18"/>
                <w:szCs w:val="18"/>
              </w:rPr>
              <w:t xml:space="preserve">LLM hallucination in answers</w:t>
            </w:r>
          </w:p>
        </w:tc>
        <w:tc>
          <w:p>
            <w:r>
              <w:rPr>
                <w:rFonts w:ascii="Times New Roman" w:cs="Times New Roman" w:eastAsia="Times New Roman" w:hAnsi="Times New Roman"/>
                <w:sz w:val="18"/>
                <w:szCs w:val="18"/>
              </w:rPr>
              <w:t xml:space="preserve">High</w:t>
            </w:r>
          </w:p>
        </w:tc>
        <w:tc>
          <w:p>
            <w:r>
              <w:rPr>
                <w:rFonts w:ascii="Times New Roman" w:cs="Times New Roman" w:eastAsia="Times New Roman" w:hAnsi="Times New Roman"/>
                <w:sz w:val="18"/>
                <w:szCs w:val="18"/>
              </w:rPr>
              <w:t xml:space="preserve">Strictly grounded prompts; display source citations; confidence score gating (do not answer if no chunk scores &gt; threshold).</w:t>
            </w:r>
          </w:p>
        </w:tc>
      </w:tr>
      <w:tr>
        <w:tc>
          <w:p>
            <w:r>
              <w:rPr>
                <w:rFonts w:ascii="Times New Roman" w:cs="Times New Roman" w:eastAsia="Times New Roman" w:hAnsi="Times New Roman"/>
                <w:sz w:val="18"/>
                <w:szCs w:val="18"/>
              </w:rPr>
              <w:t xml:space="preserve">DOCX/PDF format diversity</w:t>
            </w:r>
          </w:p>
        </w:tc>
        <w:tc>
          <w:p>
            <w:r>
              <w:rPr>
                <w:rFonts w:ascii="Times New Roman" w:cs="Times New Roman" w:eastAsia="Times New Roman" w:hAnsi="Times New Roman"/>
                <w:sz w:val="18"/>
                <w:szCs w:val="18"/>
              </w:rPr>
              <w:t xml:space="preserve">Low</w:t>
            </w:r>
          </w:p>
        </w:tc>
        <w:tc>
          <w:p>
            <w:r>
              <w:rPr>
                <w:rFonts w:ascii="Times New Roman" w:cs="Times New Roman" w:eastAsia="Times New Roman" w:hAnsi="Times New Roman"/>
                <w:sz w:val="18"/>
                <w:szCs w:val="18"/>
              </w:rPr>
              <w:t xml:space="preserve">Use battle-tested libraries (mammoth, pdf-parse, PyMuPDF) with fallback error handling; manual test on 50 real documents.</w:t>
            </w:r>
          </w:p>
        </w:tc>
      </w:tr>
      <w:tr>
        <w:tc>
          <w:p>
            <w:r>
              <w:rPr>
                <w:rFonts w:ascii="Times New Roman" w:cs="Times New Roman" w:eastAsia="Times New Roman" w:hAnsi="Times New Roman"/>
                <w:sz w:val="18"/>
                <w:szCs w:val="18"/>
              </w:rPr>
              <w:t xml:space="preserve">Team bandwidth during exams</w:t>
            </w:r>
          </w:p>
        </w:tc>
        <w:tc>
          <w:p>
            <w:r>
              <w:rPr>
                <w:rFonts w:ascii="Times New Roman" w:cs="Times New Roman" w:eastAsia="Times New Roman" w:hAnsi="Times New Roman"/>
                <w:sz w:val="18"/>
                <w:szCs w:val="18"/>
              </w:rPr>
              <w:t xml:space="preserve">Medium</w:t>
            </w:r>
          </w:p>
        </w:tc>
        <w:tc>
          <w:p>
            <w:r>
              <w:rPr>
                <w:rFonts w:ascii="Times New Roman" w:cs="Times New Roman" w:eastAsia="Times New Roman" w:hAnsi="Times New Roman"/>
                <w:sz w:val="18"/>
                <w:szCs w:val="18"/>
              </w:rPr>
              <w:t xml:space="preserve">Phase deliverables avoid exam months; buffer weeks built into timeline.</w:t>
            </w:r>
          </w:p>
        </w:tc>
      </w:tr>
    </w:tbl>
    <w:p>
      <w:pPr>
        <w:spacing w:after="80" w:before="80"/>
      </w:pPr>
    </w:p>
    <w:p>
      <w:pPr>
        <w:spacing w:after="80" w:before="80" w:line="360"/>
        <w:jc w:val="both"/>
      </w:pPr>
      <w:r>
        <w:rPr>
          <w:rFonts w:ascii="Times New Roman" w:cs="Times New Roman" w:eastAsia="Times New Roman" w:hAnsi="Times New Roman"/>
          <w:sz w:val="22"/>
          <w:szCs w:val="22"/>
        </w:rPr>
        <w:t xml:space="preserve">Table 3: Risk register for TransformoDocs execution.</w:t>
      </w:r>
    </w:p>
    <w:p>
      <w:pPr>
        <w:pStyle w:val="Heading2"/>
        <w:spacing w:after="120" w:before="240"/>
      </w:pPr>
      <w:r>
        <w:t xml:space="preserve">6.4 Is It Buildable?</w:t>
      </w:r>
    </w:p>
    <w:p>
      <w:pPr>
        <w:spacing w:after="80" w:before="80" w:line="360"/>
        <w:jc w:val="both"/>
      </w:pPr>
      <w:r>
        <w:rPr>
          <w:rFonts w:ascii="Times New Roman" w:cs="Times New Roman" w:eastAsia="Times New Roman" w:hAnsi="Times New Roman"/>
          <w:sz w:val="22"/>
          <w:szCs w:val="22"/>
        </w:rPr>
        <w:t xml:space="preserve">Yes. Each component of TransformoDocs has prior art in the form of open-source libraries and production deployments (NagrikAI, CODERAG-BENCH, LlamaIndex, LangChain). The novelty is not in inventing new algorithms but in combining existing best-practice components for the heterogeneous multi-format document search use case, within the resource constraints of an Indian engineering college capstone project. The two-semester SPPU timeline provides 10 months of development time, which is sufficient for a working prototype with a meaningful evaluation.</w:t>
      </w:r>
    </w:p>
    <w:p>
      <w:pPr>
        <w:pStyle w:val="Heading1"/>
        <w:spacing w:after="160" w:before="320"/>
      </w:pPr>
      <w:r>
        <w:t xml:space="preserve">7. Conclusion</w:t>
      </w:r>
    </w:p>
    <w:p>
      <w:pPr>
        <w:spacing w:after="80" w:before="80" w:line="360"/>
        <w:jc w:val="both"/>
      </w:pPr>
      <w:r>
        <w:rPr>
          <w:rFonts w:ascii="Times New Roman" w:cs="Times New Roman" w:eastAsia="Times New Roman" w:hAnsi="Times New Roman"/>
          <w:sz w:val="22"/>
          <w:szCs w:val="22"/>
        </w:rPr>
        <w:t xml:space="preserve">This paper reviewed five major areas of prior work — LLMs for software engineering, RAG for code generation, long-context code understanding, LLM-based regression test generation, and AI-powered civic platforms — and synthesized their insights into the design of TransformoDocs. We identified a clear gap: no existing system provides lightweight, citation-grounded, multi-format document question-answering suitable for Indian academic and SME engineering teams.</w:t>
      </w:r>
    </w:p>
    <w:p>
      <w:pPr>
        <w:spacing w:after="80" w:before="80" w:line="360"/>
        <w:jc w:val="both"/>
      </w:pPr>
      <w:r>
        <w:rPr>
          <w:rFonts w:ascii="Times New Roman" w:cs="Times New Roman" w:eastAsia="Times New Roman" w:hAnsi="Times New Roman"/>
          <w:sz w:val="22"/>
          <w:szCs w:val="22"/>
        </w:rPr>
        <w:t xml:space="preserve">TransformoDocs addresses this gap through a hybrid retrieval pipeline, grounded LLM answer generation, and a developer-centric React interface. The proposed execution timeline maps cleanly to SPPU Stage I and Stage II milestones, and the feasibility analysis confirms that the system is buildable within the project's resource constraints.</w:t>
      </w:r>
    </w:p>
    <w:p>
      <w:pPr>
        <w:spacing w:after="80" w:before="80" w:line="360"/>
        <w:jc w:val="both"/>
      </w:pPr>
      <w:r>
        <w:rPr>
          <w:rFonts w:ascii="Times New Roman" w:cs="Times New Roman" w:eastAsia="Times New Roman" w:hAnsi="Times New Roman"/>
          <w:sz w:val="22"/>
          <w:szCs w:val="22"/>
        </w:rPr>
        <w:t xml:space="preserve">Future extensions include voice query support, OCR for scanned documents, real-time collaborative document annotation, and fine-tuning a domain-specific embedding model on technical documentation corpora.</w:t>
      </w:r>
    </w:p>
    <w:p>
      <w:pPr>
        <w:pStyle w:val="Heading1"/>
        <w:spacing w:after="160" w:before="320"/>
      </w:pPr>
      <w:r>
        <w:t xml:space="preserve">References</w:t>
      </w:r>
    </w:p>
    <w:p>
      <w:pPr>
        <w:spacing w:after="80" w:before="80" w:line="360"/>
        <w:jc w:val="both"/>
      </w:pPr>
      <w:r>
        <w:rPr>
          <w:rFonts w:ascii="Times New Roman" w:cs="Times New Roman" w:eastAsia="Times New Roman" w:hAnsi="Times New Roman"/>
          <w:sz w:val="22"/>
          <w:szCs w:val="22"/>
        </w:rPr>
        <w:t xml:space="preserve">[1] X. Hou, Y. Zhao, Y. Liu, Z. Yang, K. Wang, L. Li, X. Luo, D. Lo, J. Grundy, H. Wang, "Large Language Models for Software Engineering: A Systematic Literature Review," ACM Trans. Softw. Eng. Meth., 2024.</w:t>
      </w:r>
    </w:p>
    <w:p>
      <w:pPr>
        <w:spacing w:after="80" w:before="80" w:line="360"/>
        <w:jc w:val="both"/>
      </w:pPr>
      <w:r>
        <w:rPr>
          <w:rFonts w:ascii="Times New Roman" w:cs="Times New Roman" w:eastAsia="Times New Roman" w:hAnsi="Times New Roman"/>
          <w:sz w:val="22"/>
          <w:szCs w:val="22"/>
        </w:rPr>
        <w:t xml:space="preserve">[2] Z. Z. Wang, A. Asai, X. V. Yu, F. F. Xu, Y. Xie, G. Neubig, D. Fried, "CODERAG-BENCH: Can Retrieval Augment Code Generation?" arXiv:2406.14497, 2024.</w:t>
      </w:r>
    </w:p>
    <w:p>
      <w:pPr>
        <w:spacing w:after="80" w:before="80" w:line="360"/>
        <w:jc w:val="both"/>
      </w:pPr>
      <w:r>
        <w:rPr>
          <w:rFonts w:ascii="Times New Roman" w:cs="Times New Roman" w:eastAsia="Times New Roman" w:hAnsi="Times New Roman"/>
          <w:sz w:val="22"/>
          <w:szCs w:val="22"/>
        </w:rPr>
        <w:t xml:space="preserve">[3] J. Liu, J. L. Tian, V. Daita, Y. Wei, Y. Ding, Y. K. Wang, J. Yang, L. Zhang, "RepoQA: Evaluating Long Context Code Understanding," arXiv:2406.06025, 2024.</w:t>
      </w:r>
    </w:p>
    <w:p>
      <w:pPr>
        <w:spacing w:after="80" w:before="80" w:line="360"/>
        <w:jc w:val="both"/>
      </w:pPr>
      <w:r>
        <w:rPr>
          <w:rFonts w:ascii="Times New Roman" w:cs="Times New Roman" w:eastAsia="Times New Roman" w:hAnsi="Times New Roman"/>
          <w:sz w:val="22"/>
          <w:szCs w:val="22"/>
        </w:rPr>
        <w:t xml:space="preserve">[4] J. Liu, S. Lee, E. Losiouk, M. Böhme, "Evaluating LLM-Based Regression Test Generation," MPI-SP &amp; UCLA, 2024.</w:t>
      </w:r>
    </w:p>
    <w:p>
      <w:pPr>
        <w:spacing w:after="80" w:before="80" w:line="360"/>
        <w:jc w:val="both"/>
      </w:pPr>
      <w:r>
        <w:rPr>
          <w:rFonts w:ascii="Times New Roman" w:cs="Times New Roman" w:eastAsia="Times New Roman" w:hAnsi="Times New Roman"/>
          <w:sz w:val="22"/>
          <w:szCs w:val="22"/>
        </w:rPr>
        <w:t xml:space="preserve">[5] Team NagrikAI, "NagrikAI: AI-Powered Citizen Governance Assistant," Internal Presentation, D.Y. Patil College of Engineering, Akurdi, 2025.</w:t>
      </w:r>
    </w:p>
    <w:p>
      <w:pPr>
        <w:spacing w:after="80" w:before="80" w:line="360"/>
        <w:jc w:val="both"/>
      </w:pPr>
      <w:r>
        <w:rPr>
          <w:rFonts w:ascii="Times New Roman" w:cs="Times New Roman" w:eastAsia="Times New Roman" w:hAnsi="Times New Roman"/>
          <w:sz w:val="22"/>
          <w:szCs w:val="22"/>
        </w:rPr>
        <w:t xml:space="preserve">[6] P. Lewis et al., "Retrieval-Augmented Generation for Knowledge-Intensive NLP Tasks," NeurIPS, 2020.</w:t>
      </w:r>
    </w:p>
    <w:p>
      <w:pPr>
        <w:spacing w:after="80" w:before="80" w:line="360"/>
        <w:jc w:val="both"/>
      </w:pPr>
      <w:r>
        <w:rPr>
          <w:rFonts w:ascii="Times New Roman" w:cs="Times New Roman" w:eastAsia="Times New Roman" w:hAnsi="Times New Roman"/>
          <w:sz w:val="22"/>
          <w:szCs w:val="22"/>
        </w:rPr>
        <w:t xml:space="preserve">[7] J. Chen et al., "Evaluating Retrieval Quality for RAG: A Survey," arXiv, 2024.</w:t>
      </w:r>
    </w:p>
    <w:sectPr>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2026-09-15T12:29:58.793Z</dcterms:created>
  <dcterms:modified xsi:type="dcterms:W3CDTF">2026-09-15T12:29:58.812Z</dcterms:modified>
</cp:coreProperties>
</file>

<file path=docProps/custom.xml><?xml version="1.0" encoding="utf-8"?>
<Properties xmlns="http://schemas.openxmlformats.org/officeDocument/2006/custom-properties" xmlns:vt="http://schemas.openxmlformats.org/officeDocument/2006/docPropsVTypes"/>
</file>