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choosing an AWS Region for deploying applications and services, several factors should be considered to ensure optimal performance, compliance, and cost-effectiveness. Below are the key factors: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m1laht0go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Latency and Proximity to Users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a Region geographically close to your end-users or customers to minimize latency and improve performance.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regions that have low-latency connections to your target markets.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0pivgmhfc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Residency and Compliance Requirements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 industries and governments have regulations regarding where data must be stored (e.g., GDPR in Europe, HIPAA in the U.S.).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chosen Region complies with legal and regulatory requirements for data residency and privacy.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4sb830yjb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Service Availability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 all AWS services are available in every Region.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that the specific AWS services you need are available in the Region you choose.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Newer services may be available only in a few Regions initially, so service availability may influence your choice.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1egtj6nrj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Cost and Pricing Differences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pricing varies between Regions, with some Regions offering lower prices for the same services.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the cost implications of running your workloads in different Regions, especially for data transfer, compute, and storage.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knnob8id1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Availability Zones (AZs)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Regions with more Availability Zones provide higher fault tolerance and scalability options.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your application requires high availability and redundancy, choose a Region with multiple AZs.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904rsos37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Disaster Recovery and Resilience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ensure business continuity, consider using multiple Regions for disaster recovery.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Regions that are geographically distant from each other to avoid simultaneous failures due to natural disasters or geopolitical issues.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m4y92l1na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factors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ufggqod1c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Latency-Sensitive Applications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applications requiring ultra-low latency, consider using Regions with Local Zones or Wavelength Zones.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extensions of AWS Regions allow you to deploy latency-sensitive workloads closer to end-users.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8sys7iods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Sustainability and Environmental Impact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is committed to sustainability, and some Regions are powered by 100% renewable energy.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sustainability is a priority for your organization, consider choosing a Region with renewable energy sources.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9vr6c5aa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Geopolitical Considerations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Consider the geopolitical stability of the Region, especially if your application is mission-critical.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potential risks related to political changes, regulatory shifts, or sanctions that might affect your operations.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etjvvzyrl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Network and Connectivity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Assess the network infrastructure within and around the Region, including cross-Region data transfer speeds.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Regions with strong global network connectivity if your application requires frequent cross-Region communication.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xxs5263me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Expansion and Growth Plans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your business plans to expand globally, choose Regions that align with your future growth markets.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starting with a Region that can scale with your anticipated user base and traffic.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4xur2dax1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Regional Service Quotas and Limits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 Regions have different quotas and limits for services, such as EC2 instances or database capacities.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chosen Region supports your expected workload demands.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zoc0c7pf9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poou4rnn9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Partner and Ecosystem Availability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Consider whether your partners, vendors, or third-party services are available in the Region.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Marketplace offerings may vary between Regions, so ensure required third-party solutions are accessible.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47pzlryyo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Edge Services and Content Delivery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your application requires content delivery through services like Amazon CloudFront, choose a Region with nearby Edge Locations to reduce latency.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workloads that need extensive edge processing, consider Regions with numerous Edge Locations.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rhkrccjup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Support for Multinational Corporations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businesses operating in multiple countries, selecting Regions that align with international operations can streamline global deployments and support.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