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Production Roadmap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Governed tool-calling orchestrator — from notebook to FastAPI to production</w:t>
      </w:r>
    </w:p>
    <w:p>
      <w:pPr>
        <w:spacing w:after="120"/>
      </w:pPr>
      <w:r>
        <w:t xml:space="preserve">Status as of this doc: Jupyter-based orchestrator with SQLite-backed call history and a parameter-bound policy engine, validated against a skip-ahead scenario (see exercise-3-multi-turn/). This document sequences the path from that notebook to a production-shaped FastAPI service, and separates what's needed to ship a first working version from what's genuinely deferred to a later hardening pass.</w:t>
      </w:r>
    </w:p>
    <w:p>
      <w:pPr>
        <w:spacing w:after="120"/>
      </w:pPr>
      <w:r>
        <w:rPr>
          <w:b/>
          <w:bCs/>
        </w:rPr>
        <w:t xml:space="preserve">Guiding rule: </w:t>
      </w:r>
      <w:r>
        <w:t xml:space="preserve">don't build governance infrastructure before the thing it governs is stable. Get the FastAPI orchestrator working end-to-end first, with the simplest honest version of each production concern, then harden in the order below — not all at once, and not before the MVP exists.</w:t>
      </w:r>
    </w:p>
    <w:p>
      <w:pPr>
        <w:pStyle w:val="Heading1"/>
        <w:spacing w:after="140" w:before="320"/>
      </w:pPr>
      <w:r>
        <w:t xml:space="preserve">Phase 1 — FastAPI MVP (ship this first)</w:t>
      </w:r>
    </w:p>
    <w:p>
      <w:pPr>
        <w:spacing w:after="120"/>
      </w:pPr>
      <w:r>
        <w:t xml:space="preserve">Goal: the exact Jupyter behavior, callable over HTTP, nothing more.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AsyncAnthropic client, </w:t>
      </w:r>
      <w:r>
        <w:t xml:space="preserve">not the sync client — avoid blocking the event loop on every model round-trip.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One endpoint: </w:t>
      </w:r>
      <w:r>
        <w:t xml:space="preserve">POST /query accepting a user message, returning the final answer. Correlation ID generated server-side, returned to the caller for follow-up requests.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Policy engine and call-history store extracted </w:t>
      </w:r>
      <w:r>
        <w:t xml:space="preserve">into their own modules (policy.py, store.py) — don't inline into route handlers.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SQLite is fine for the MVP. </w:t>
      </w:r>
      <w:r>
        <w:t xml:space="preserve">Don't reach for Postgres yet — see Phase 3.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Hard-coded MAX_ITERATIONS cap </w:t>
      </w:r>
      <w:r>
        <w:t xml:space="preserve">on the tool-use loop (already built and tested). Keep it.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Policy rejections fed back as a tool_result, </w:t>
      </w:r>
      <w:r>
        <w:t xml:space="preserve">never a bypassing HTTP error — preserves the graceful self-correction validated in Exercise 3 (45% of trials self-corrected, zero hard failures). Don't regress this.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Basic request/response logging to stdout </w:t>
      </w:r>
      <w:r>
        <w:t xml:space="preserve">— not the audit system, just enough to debug the service while building it.</w:t>
      </w:r>
    </w:p>
    <w:p>
      <w:pPr>
        <w:spacing w:after="120"/>
      </w:pPr>
      <w:r>
        <w:rPr>
          <w:b/>
          <w:bCs/>
        </w:rPr>
        <w:t xml:space="preserve">Deliberately NOT included: </w:t>
      </w:r>
      <w:r>
        <w:t xml:space="preserve">auth, encryption, event streaming, policy versioning, a policy UI, multi-worker concurrency safety. All covered below.</w:t>
      </w:r>
    </w:p>
    <w:p>
      <w:pPr>
        <w:pStyle w:val="Heading1"/>
        <w:spacing w:after="140" w:before="320"/>
      </w:pPr>
      <w:r>
        <w:t xml:space="preserve">Phase 2 — Audit trail, compliance-shaped</w:t>
      </w:r>
    </w:p>
    <w:p>
      <w:pPr>
        <w:spacing w:after="120"/>
      </w:pPr>
      <w:r>
        <w:t xml:space="preserve">The current tool_calls + policy_rejections split covers what happened but not who did it, under what policy version, or proof it wasn't altered. A compliance review will ask for all three.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Unify into one events table </w:t>
      </w:r>
      <w:r>
        <w:t xml:space="preserve">with a type column (tool_call, policy_rejection, final_answer). One ordered query should reconstruct the full story of any interaction.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Add an actor/identity field </w:t>
      </w:r>
      <w:r>
        <w:t xml:space="preserve">— correlation_id ties events together but doesn't identify a person or session. Add user_id/session_id once real auth exists.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Pin the model version </w:t>
      </w:r>
      <w:r>
        <w:t xml:space="preserve">on every row (model_id column) — needed to explain behavior differences after a model upgrade.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Policy versioning </w:t>
      </w:r>
      <w:r>
        <w:t xml:space="preserve">— every policy change gets a version id; every event records which version was active. Without this, “under what rule was this approved” is unanswerable once policy has since changed.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Write-once enforcement at the DB permission level, </w:t>
      </w:r>
      <w:r>
        <w:t xml:space="preserve">not just in application code — INSERT-only grant on audit tables, no UPDATE/DELETE.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Idempotency constraint: </w:t>
      </w:r>
      <w:r>
        <w:t xml:space="preserve">unique index on (correlation_id, tool_use_id). A retry becomes a no-op instead of a duplicate row or duplicate execution.</w:t>
      </w:r>
    </w:p>
    <w:p>
      <w:pPr>
        <w:pStyle w:val="Heading1"/>
        <w:spacing w:after="140" w:before="320"/>
      </w:pPr>
      <w:r>
        <w:t xml:space="preserve">Phase 3 — Scale and infrastructure hardening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Interface-based storage layer </w:t>
      </w:r>
      <w:r>
        <w:t xml:space="preserve">— a CallHistoryStore protocol with SQLite (dev) and Postgres (prod) implementations, selected by config. Do this before SQLite-specific SQL spreads further.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Move to Postgres once there's real concurrency </w:t>
      </w:r>
      <w:r>
        <w:t xml:space="preserve">— multiple FastAPI workers means multiple writers; SQLite's single-writer model won't hold. Aligns with existing pgvector usage.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Event-driven audit writes </w:t>
      </w:r>
      <w:r>
        <w:t xml:space="preserve">— orchestrator publishes to Pub/Sub after each decision; a separate consumer writes to the audit store. Decouples audit latency from the response path; a consumer outage backs up the queue instead of losing events. (Custom event → Pub/Sub, not Eventarc.)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Stateless orchestrator </w:t>
      </w:r>
      <w:r>
        <w:t xml:space="preserve">— no in-memory state beyond one request's lifecycle, so the service runs as N replicas without coordination.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Encryption at rest </w:t>
      </w:r>
      <w:r>
        <w:t xml:space="preserve">for the audit/call-history store.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Least-privilege DB credentials, </w:t>
      </w:r>
      <w:r>
        <w:t xml:space="preserve">scoped per service role (orchestrator: insert-only; reporting tools: read-only).</w:t>
      </w:r>
    </w:p>
    <w:p>
      <w:pPr>
        <w:pStyle w:val="Heading1"/>
        <w:spacing w:after="140" w:before="320"/>
      </w:pPr>
      <w:r>
        <w:t xml:space="preserve">Phase 4 — Policy engine maturity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Replace lambda condition fields </w:t>
      </w:r>
      <w:r>
        <w:t xml:space="preserve">with declarative JSON conditions — a Python lambda isn't JSON-serializable, isn't safely editable by a non-engineer, and isn't safe to accept from a future web form.</w:t>
      </w:r>
    </w:p>
    <w:p>
      <w:pPr>
        <w:shd w:fill="F0F0F0" w:val="clear"/>
        <w:spacing w:after="1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{"field": "acc_type", "op": "equals", "value": "business"}</w:t>
      </w:r>
    </w:p>
    <w:p>
      <w:pPr>
        <w:spacing w:after="120"/>
      </w:pPr>
      <w:r>
        <w:t xml:space="preserve">A small interpreter supporting equals, not_equals, in, gt, lt covers nearly every real business rule without needing arbitrary code.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Policy stays in version control first. </w:t>
      </w:r>
      <w:r>
        <w:t xml:space="preserve">Policy-as-JSON-in-git with required PR review, before any UI — arguably a stronger initial compliance story than a web form.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Web UI for policy management </w:t>
      </w:r>
      <w:r>
        <w:t xml:space="preserve">is a real, separate project, sequenced last — only after policy versioning and declarative conditions exist. The UI itself then needs its own access control and approval workflow.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Support any_of / OR semantics </w:t>
      </w:r>
      <w:r>
        <w:t xml:space="preserve">once a real use case needs it. Don't build speculatively.</w:t>
      </w:r>
    </w:p>
    <w:p>
      <w:pPr>
        <w:pStyle w:val="Heading1"/>
        <w:spacing w:after="140" w:before="320"/>
      </w:pPr>
      <w:r>
        <w:t xml:space="preserve">Explicitly deferred</w:t>
      </w:r>
    </w:p>
    <w:p>
      <w:pPr>
        <w:spacing w:after="120"/>
      </w:pPr>
      <w:r>
        <w:t xml:space="preserve">Revisit only when there's a real trigger, not preemptively: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Graph database for policy representation — </w:t>
      </w:r>
      <w:r>
        <w:t xml:space="preserve">not justified at this scale; a JSON manifest + generic prerequisite-checker covers dozens of tools and multi-step chains without graph-traversal complexity.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Full RBAC / fine-grained per-tool access control </w:t>
      </w:r>
      <w:r>
        <w:t xml:space="preserve">beyond sequencing policy — revisit with a real multi-tenant or multi-role user base.</w:t>
      </w:r>
    </w:p>
    <w:p>
      <w:pPr>
        <w:spacing w:after="100"/>
        <w:ind w:left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Rate limiting / cost controls </w:t>
      </w:r>
      <w:r>
        <w:t xml:space="preserve">at the orchestrator level — revisit once handling real traffic.</w:t>
      </w:r>
    </w:p>
    <w:p>
      <w:pPr>
        <w:pStyle w:val="Heading1"/>
        <w:spacing w:after="140" w:before="320"/>
      </w:pPr>
      <w:r>
        <w:t xml:space="preserve">What ships when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400"/>
      </w:tblGrid>
      <w:tr>
        <w:tc>
          <w:tcPr>
            <w:tcW w:type="dxa" w:w="1200"/>
            <w:shd w:fill="2E3B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shd w:fill="2E3B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Ships with</w:t>
            </w:r>
          </w:p>
        </w:tc>
        <w:tc>
          <w:tcPr>
            <w:tcW w:type="dxa" w:w="3400"/>
            <w:shd w:fill="2E3B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Blocks 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MVP, feature-parity with notebook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Nothing — start here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trail compliance shape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running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Scale, durability, encryption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schema settled (don't migrate storage twice)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Policy-as-config, then UI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versioning (UI needs it); can run in parallel with Phase 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2026-09-05T18:35:29.191Z</dcterms:created>
  <dcterms:modified xsi:type="dcterms:W3CDTF">2026-09-05T18:35:29.201Z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