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1E3A8A"/>
          <w:sz w:val="56"/>
        </w:rPr>
        <w:t>RISKINTEL PORTAL</w:t>
      </w:r>
    </w:p>
    <w:p>
      <w:pPr>
        <w:spacing w:after="720"/>
        <w:jc w:val="center"/>
      </w:pPr>
      <w:r>
        <w:rPr>
          <w:rFonts w:ascii="Arial" w:hAnsi="Arial"/>
          <w:i/>
          <w:color w:val="64748B"/>
          <w:sz w:val="28"/>
        </w:rPr>
        <w:t>System Architecture &amp; End-to-End User Journey Specification</w:t>
      </w:r>
    </w:p>
    <w:p>
      <w:pPr>
        <w:spacing w:after="480"/>
        <w:jc w:val="center"/>
      </w:pPr>
      <w:r>
        <w:rPr>
          <w:color w:val="E2E8F0"/>
        </w:rPr>
        <w:t>____________________________________________________</w:t>
      </w:r>
    </w:p>
    <w:p>
      <w:pPr>
        <w:pStyle w:val="Heading1"/>
        <w:keepNext/>
        <w:spacing w:before="240" w:after="120"/>
      </w:pPr>
      <w:r>
        <w:rPr>
          <w:rFonts w:ascii="Arial" w:hAnsi="Arial"/>
          <w:color w:val="1E3A8A"/>
          <w:sz w:val="36"/>
        </w:rPr>
        <w:t>1. Executive Summary</w:t>
      </w:r>
    </w:p>
    <w:p>
      <w:r>
        <w:t>The RiskIntel Portal is an advanced AI-powered Bankruptcy Intelligence application. Designed to run locally or in production via Streamlit, the system allows analysts to ingest debtor spreadsheets, view transactional profiles, forecast bankruptcy filing volumes, and interface with database tables using a conversational Natural Language (NL) interface. This specification provides a formal description of the system's software architecture, internal module interfaces, visual rendering subsystems, and the step-by-step user journey across internal functions.</w:t>
      </w:r>
    </w:p>
    <w:p>
      <w:pPr>
        <w:pStyle w:val="Heading1"/>
        <w:keepNext/>
        <w:spacing w:before="240" w:after="120"/>
      </w:pPr>
      <w:r>
        <w:rPr>
          <w:rFonts w:ascii="Arial" w:hAnsi="Arial"/>
          <w:color w:val="1E3A8A"/>
          <w:sz w:val="36"/>
        </w:rPr>
        <w:t>2. Component Architecture &amp; File Structure</w:t>
      </w:r>
    </w:p>
    <w:p>
      <w:r>
        <w:t>The codebase is structured logically into high-cohesion, low-coupling modules, separating visual representation, core machine learning computations, natural language SQL generation, and database storage:</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E3A8A"/>
            <w:tcMar>
              <w:top w:w="120" w:type="dxa"/>
              <w:bottom w:w="120" w:type="dxa"/>
              <w:left w:w="150" w:type="dxa"/>
              <w:right w:w="150" w:type="dxa"/>
            </w:tcMar>
          </w:tcPr>
          <w:p>
            <w:r>
              <w:rPr>
                <w:rFonts w:ascii="Arial" w:hAnsi="Arial"/>
                <w:b/>
                <w:color w:val="FFFFFF"/>
                <w:sz w:val="20"/>
              </w:rPr>
              <w:t>Module / File</w:t>
            </w:r>
          </w:p>
        </w:tc>
        <w:tc>
          <w:tcPr>
            <w:tcW w:type="dxa" w:w="3120"/>
            <w:shd w:fill="1E3A8A"/>
            <w:tcMar>
              <w:top w:w="120" w:type="dxa"/>
              <w:bottom w:w="120" w:type="dxa"/>
              <w:left w:w="150" w:type="dxa"/>
              <w:right w:w="150" w:type="dxa"/>
            </w:tcMar>
          </w:tcPr>
          <w:p>
            <w:r>
              <w:rPr>
                <w:rFonts w:ascii="Arial" w:hAnsi="Arial"/>
                <w:b/>
                <w:color w:val="FFFFFF"/>
                <w:sz w:val="20"/>
              </w:rPr>
              <w:t>Primary Role</w:t>
            </w:r>
          </w:p>
        </w:tc>
        <w:tc>
          <w:tcPr>
            <w:tcW w:type="dxa" w:w="3120"/>
            <w:shd w:fill="1E3A8A"/>
            <w:tcMar>
              <w:top w:w="120" w:type="dxa"/>
              <w:bottom w:w="120" w:type="dxa"/>
              <w:left w:w="150" w:type="dxa"/>
              <w:right w:w="150" w:type="dxa"/>
            </w:tcMar>
          </w:tcPr>
          <w:p>
            <w:r>
              <w:rPr>
                <w:rFonts w:ascii="Arial" w:hAnsi="Arial"/>
                <w:b/>
                <w:color w:val="FFFFFF"/>
                <w:sz w:val="20"/>
              </w:rPr>
              <w:t>Key Internal Functions</w:t>
            </w:r>
          </w:p>
        </w:tc>
      </w:tr>
      <w:tr>
        <w:tc>
          <w:tcPr>
            <w:tcW w:type="dxa" w:w="3120"/>
            <w:shd w:fill="F8FAFC"/>
            <w:tcMar>
              <w:top w:w="100" w:type="dxa"/>
              <w:bottom w:w="100" w:type="dxa"/>
              <w:left w:w="150" w:type="dxa"/>
              <w:right w:w="150" w:type="dxa"/>
            </w:tcMar>
          </w:tcPr>
          <w:p>
            <w:r>
              <w:rPr>
                <w:rFonts w:ascii="Calibri" w:hAnsi="Calibri"/>
                <w:sz w:val="20"/>
              </w:rPr>
              <w:t>app.py</w:t>
            </w:r>
          </w:p>
        </w:tc>
        <w:tc>
          <w:tcPr>
            <w:tcW w:type="dxa" w:w="3120"/>
            <w:shd w:fill="F8FAFC"/>
            <w:tcMar>
              <w:top w:w="100" w:type="dxa"/>
              <w:bottom w:w="100" w:type="dxa"/>
              <w:left w:w="150" w:type="dxa"/>
              <w:right w:w="150" w:type="dxa"/>
            </w:tcMar>
          </w:tcPr>
          <w:p>
            <w:r>
              <w:rPr>
                <w:rFonts w:ascii="Calibri" w:hAnsi="Calibri"/>
                <w:sz w:val="20"/>
              </w:rPr>
              <w:t>Streamlit Frontend &amp; Tab Router</w:t>
            </w:r>
          </w:p>
        </w:tc>
        <w:tc>
          <w:tcPr>
            <w:tcW w:type="dxa" w:w="3120"/>
            <w:shd w:fill="F8FAFC"/>
            <w:tcMar>
              <w:top w:w="100" w:type="dxa"/>
              <w:bottom w:w="100" w:type="dxa"/>
              <w:left w:w="150" w:type="dxa"/>
              <w:right w:w="150" w:type="dxa"/>
            </w:tcMar>
          </w:tcPr>
          <w:p>
            <w:r>
              <w:rPr>
                <w:rFonts w:ascii="Calibri" w:hAnsi="Calibri"/>
                <w:sz w:val="20"/>
              </w:rPr>
              <w:t>Loads custom UI stylesheets, tracks sidebar menu redirects, renders core metrics dashboard, and coordinates overall sub-module executions.</w:t>
            </w:r>
          </w:p>
        </w:tc>
      </w:tr>
      <w:tr>
        <w:tc>
          <w:tcPr>
            <w:tcW w:type="dxa" w:w="3120"/>
            <w:shd w:fill="FFFFFF"/>
            <w:tcMar>
              <w:top w:w="100" w:type="dxa"/>
              <w:bottom w:w="100" w:type="dxa"/>
              <w:left w:w="150" w:type="dxa"/>
              <w:right w:w="150" w:type="dxa"/>
            </w:tcMar>
          </w:tcPr>
          <w:p>
            <w:r>
              <w:rPr>
                <w:rFonts w:ascii="Calibri" w:hAnsi="Calibri"/>
                <w:sz w:val="20"/>
              </w:rPr>
              <w:t>query_box.py</w:t>
            </w:r>
          </w:p>
        </w:tc>
        <w:tc>
          <w:tcPr>
            <w:tcW w:type="dxa" w:w="3120"/>
            <w:shd w:fill="FFFFFF"/>
            <w:tcMar>
              <w:top w:w="100" w:type="dxa"/>
              <w:bottom w:w="100" w:type="dxa"/>
              <w:left w:w="150" w:type="dxa"/>
              <w:right w:w="150" w:type="dxa"/>
            </w:tcMar>
          </w:tcPr>
          <w:p>
            <w:r>
              <w:rPr>
                <w:rFonts w:ascii="Calibri" w:hAnsi="Calibri"/>
                <w:sz w:val="20"/>
              </w:rPr>
              <w:t>NL-to-SQL Assistant &amp; Execution Box</w:t>
            </w:r>
          </w:p>
        </w:tc>
        <w:tc>
          <w:tcPr>
            <w:tcW w:type="dxa" w:w="3120"/>
            <w:shd w:fill="FFFFFF"/>
            <w:tcMar>
              <w:top w:w="100" w:type="dxa"/>
              <w:bottom w:w="100" w:type="dxa"/>
              <w:left w:w="150" w:type="dxa"/>
              <w:right w:w="150" w:type="dxa"/>
            </w:tcMar>
          </w:tcPr>
          <w:p>
            <w:r>
              <w:rPr>
                <w:rFonts w:ascii="Calibri" w:hAnsi="Calibri"/>
                <w:sz w:val="20"/>
              </w:rPr>
              <w:t>smart_query_understanding(), generate_sql_from_question(), validate_sql_with_judge(), execute_sql_query(), create_temporary_table_from_dataframe(), render_query_box_tab()</w:t>
            </w:r>
          </w:p>
        </w:tc>
      </w:tr>
      <w:tr>
        <w:tc>
          <w:tcPr>
            <w:tcW w:type="dxa" w:w="3120"/>
            <w:shd w:fill="F8FAFC"/>
            <w:tcMar>
              <w:top w:w="100" w:type="dxa"/>
              <w:bottom w:w="100" w:type="dxa"/>
              <w:left w:w="150" w:type="dxa"/>
              <w:right w:w="150" w:type="dxa"/>
            </w:tcMar>
          </w:tcPr>
          <w:p>
            <w:r>
              <w:rPr>
                <w:rFonts w:ascii="Calibri" w:hAnsi="Calibri"/>
                <w:sz w:val="20"/>
              </w:rPr>
              <w:t>forecasting_engine.py</w:t>
            </w:r>
          </w:p>
        </w:tc>
        <w:tc>
          <w:tcPr>
            <w:tcW w:type="dxa" w:w="3120"/>
            <w:shd w:fill="F8FAFC"/>
            <w:tcMar>
              <w:top w:w="100" w:type="dxa"/>
              <w:bottom w:w="100" w:type="dxa"/>
              <w:left w:w="150" w:type="dxa"/>
              <w:right w:w="150" w:type="dxa"/>
            </w:tcMar>
          </w:tcPr>
          <w:p>
            <w:r>
              <w:rPr>
                <w:rFonts w:ascii="Calibri" w:hAnsi="Calibri"/>
                <w:sz w:val="20"/>
              </w:rPr>
              <w:t>Predictive Analytics &amp; ML Forecasting</w:t>
            </w:r>
          </w:p>
        </w:tc>
        <w:tc>
          <w:tcPr>
            <w:tcW w:type="dxa" w:w="3120"/>
            <w:shd w:fill="F8FAFC"/>
            <w:tcMar>
              <w:top w:w="100" w:type="dxa"/>
              <w:bottom w:w="100" w:type="dxa"/>
              <w:left w:w="150" w:type="dxa"/>
              <w:right w:w="150" w:type="dxa"/>
            </w:tcMar>
          </w:tcPr>
          <w:p>
            <w:r>
              <w:rPr>
                <w:rFonts w:ascii="Calibri" w:hAnsi="Calibri"/>
                <w:sz w:val="20"/>
              </w:rPr>
              <w:t>load_monthly_series(), run_filing_forecast(), run_chapter_forecast(), run_risk_score_forecast(), detect_state_anomalies()</w:t>
            </w:r>
          </w:p>
        </w:tc>
      </w:tr>
      <w:tr>
        <w:tc>
          <w:tcPr>
            <w:tcW w:type="dxa" w:w="3120"/>
            <w:shd w:fill="FFFFFF"/>
            <w:tcMar>
              <w:top w:w="100" w:type="dxa"/>
              <w:bottom w:w="100" w:type="dxa"/>
              <w:left w:w="150" w:type="dxa"/>
              <w:right w:w="150" w:type="dxa"/>
            </w:tcMar>
          </w:tcPr>
          <w:p>
            <w:r>
              <w:rPr>
                <w:rFonts w:ascii="Calibri" w:hAnsi="Calibri"/>
                <w:sz w:val="20"/>
              </w:rPr>
              <w:t>insights_generator.py</w:t>
            </w:r>
          </w:p>
        </w:tc>
        <w:tc>
          <w:tcPr>
            <w:tcW w:type="dxa" w:w="3120"/>
            <w:shd w:fill="FFFFFF"/>
            <w:tcMar>
              <w:top w:w="100" w:type="dxa"/>
              <w:bottom w:w="100" w:type="dxa"/>
              <w:left w:w="150" w:type="dxa"/>
              <w:right w:w="150" w:type="dxa"/>
            </w:tcMar>
          </w:tcPr>
          <w:p>
            <w:r>
              <w:rPr>
                <w:rFonts w:ascii="Calibri" w:hAnsi="Calibri"/>
                <w:sz w:val="20"/>
              </w:rPr>
              <w:t>Automatic AI Data Insight Engine</w:t>
            </w:r>
          </w:p>
        </w:tc>
        <w:tc>
          <w:tcPr>
            <w:tcW w:type="dxa" w:w="3120"/>
            <w:shd w:fill="FFFFFF"/>
            <w:tcMar>
              <w:top w:w="100" w:type="dxa"/>
              <w:bottom w:w="100" w:type="dxa"/>
              <w:left w:w="150" w:type="dxa"/>
              <w:right w:w="150" w:type="dxa"/>
            </w:tcMar>
          </w:tcPr>
          <w:p>
            <w:r>
              <w:rPr>
                <w:rFonts w:ascii="Calibri" w:hAnsi="Calibri"/>
                <w:sz w:val="20"/>
              </w:rPr>
              <w:t>DataInsightsGenerator class (detects and categorizes dataframe column schemas), generate_insights() (generates qualitative reports and centered Seaborn visualizations)</w:t>
            </w:r>
          </w:p>
        </w:tc>
      </w:tr>
      <w:tr>
        <w:tc>
          <w:tcPr>
            <w:tcW w:type="dxa" w:w="3120"/>
            <w:shd w:fill="F8FAFC"/>
            <w:tcMar>
              <w:top w:w="100" w:type="dxa"/>
              <w:bottom w:w="100" w:type="dxa"/>
              <w:left w:w="150" w:type="dxa"/>
              <w:right w:w="150" w:type="dxa"/>
            </w:tcMar>
          </w:tcPr>
          <w:p>
            <w:r>
              <w:rPr>
                <w:rFonts w:ascii="Calibri" w:hAnsi="Calibri"/>
                <w:sz w:val="20"/>
              </w:rPr>
              <w:t>config.py</w:t>
            </w:r>
          </w:p>
        </w:tc>
        <w:tc>
          <w:tcPr>
            <w:tcW w:type="dxa" w:w="3120"/>
            <w:shd w:fill="F8FAFC"/>
            <w:tcMar>
              <w:top w:w="100" w:type="dxa"/>
              <w:bottom w:w="100" w:type="dxa"/>
              <w:left w:w="150" w:type="dxa"/>
              <w:right w:w="150" w:type="dxa"/>
            </w:tcMar>
          </w:tcPr>
          <w:p>
            <w:r>
              <w:rPr>
                <w:rFonts w:ascii="Calibri" w:hAnsi="Calibri"/>
                <w:sz w:val="20"/>
              </w:rPr>
              <w:t>AWS Bedrock client, LangChain wrappers, and caching</w:t>
            </w:r>
          </w:p>
        </w:tc>
        <w:tc>
          <w:tcPr>
            <w:tcW w:type="dxa" w:w="3120"/>
            <w:shd w:fill="F8FAFC"/>
            <w:tcMar>
              <w:top w:w="100" w:type="dxa"/>
              <w:bottom w:w="100" w:type="dxa"/>
              <w:left w:w="150" w:type="dxa"/>
              <w:right w:w="150" w:type="dxa"/>
            </w:tcMar>
          </w:tcPr>
          <w:p>
            <w:r>
              <w:rPr>
                <w:rFonts w:ascii="Calibri" w:hAnsi="Calibri"/>
                <w:sz w:val="20"/>
              </w:rPr>
              <w:t>call_llm(), call_llm_with_cache(), count_token_usage() using SQLite prompt caching via .litellm_prompt_cache.db</w:t>
            </w:r>
          </w:p>
        </w:tc>
      </w:tr>
      <w:tr>
        <w:tc>
          <w:tcPr>
            <w:tcW w:type="dxa" w:w="3120"/>
            <w:shd w:fill="FFFFFF"/>
            <w:tcMar>
              <w:top w:w="100" w:type="dxa"/>
              <w:bottom w:w="100" w:type="dxa"/>
              <w:left w:w="150" w:type="dxa"/>
              <w:right w:w="150" w:type="dxa"/>
            </w:tcMar>
          </w:tcPr>
          <w:p>
            <w:r>
              <w:rPr>
                <w:rFonts w:ascii="Calibri" w:hAnsi="Calibri"/>
                <w:sz w:val="20"/>
              </w:rPr>
              <w:t>schema.json</w:t>
            </w:r>
          </w:p>
        </w:tc>
        <w:tc>
          <w:tcPr>
            <w:tcW w:type="dxa" w:w="3120"/>
            <w:shd w:fill="FFFFFF"/>
            <w:tcMar>
              <w:top w:w="100" w:type="dxa"/>
              <w:bottom w:w="100" w:type="dxa"/>
              <w:left w:w="150" w:type="dxa"/>
              <w:right w:w="150" w:type="dxa"/>
            </w:tcMar>
          </w:tcPr>
          <w:p>
            <w:r>
              <w:rPr>
                <w:rFonts w:ascii="Calibri" w:hAnsi="Calibri"/>
                <w:sz w:val="20"/>
              </w:rPr>
              <w:t>Database Logical Schema</w:t>
            </w:r>
          </w:p>
        </w:tc>
        <w:tc>
          <w:tcPr>
            <w:tcW w:type="dxa" w:w="3120"/>
            <w:shd w:fill="FFFFFF"/>
            <w:tcMar>
              <w:top w:w="100" w:type="dxa"/>
              <w:bottom w:w="100" w:type="dxa"/>
              <w:left w:w="150" w:type="dxa"/>
              <w:right w:w="150" w:type="dxa"/>
            </w:tcMar>
          </w:tcPr>
          <w:p>
            <w:r>
              <w:rPr>
                <w:rFonts w:ascii="Calibri" w:hAnsi="Calibri"/>
                <w:sz w:val="20"/>
              </w:rPr>
              <w:t>JSON metadata dictionary defining table structures, active columns, and descriptive schemas injected directly into LLM prompts.</w:t>
            </w:r>
          </w:p>
        </w:tc>
      </w:tr>
      <w:tr>
        <w:tc>
          <w:tcPr>
            <w:tcW w:type="dxa" w:w="3120"/>
            <w:shd w:fill="F8FAFC"/>
            <w:tcMar>
              <w:top w:w="100" w:type="dxa"/>
              <w:bottom w:w="100" w:type="dxa"/>
              <w:left w:w="150" w:type="dxa"/>
              <w:right w:w="150" w:type="dxa"/>
            </w:tcMar>
          </w:tcPr>
          <w:p>
            <w:r>
              <w:rPr>
                <w:rFonts w:ascii="Calibri" w:hAnsi="Calibri"/>
                <w:sz w:val="20"/>
              </w:rPr>
              <w:t>data.db</w:t>
            </w:r>
          </w:p>
        </w:tc>
        <w:tc>
          <w:tcPr>
            <w:tcW w:type="dxa" w:w="3120"/>
            <w:shd w:fill="F8FAFC"/>
            <w:tcMar>
              <w:top w:w="100" w:type="dxa"/>
              <w:bottom w:w="100" w:type="dxa"/>
              <w:left w:w="150" w:type="dxa"/>
              <w:right w:w="150" w:type="dxa"/>
            </w:tcMar>
          </w:tcPr>
          <w:p>
            <w:r>
              <w:rPr>
                <w:rFonts w:ascii="Calibri" w:hAnsi="Calibri"/>
                <w:sz w:val="20"/>
              </w:rPr>
              <w:t>Database Storage Layer</w:t>
            </w:r>
          </w:p>
        </w:tc>
        <w:tc>
          <w:tcPr>
            <w:tcW w:type="dxa" w:w="3120"/>
            <w:shd w:fill="F8FAFC"/>
            <w:tcMar>
              <w:top w:w="100" w:type="dxa"/>
              <w:bottom w:w="100" w:type="dxa"/>
              <w:left w:w="150" w:type="dxa"/>
              <w:right w:w="150" w:type="dxa"/>
            </w:tcMar>
          </w:tcPr>
          <w:p>
            <w:r>
              <w:rPr>
                <w:rFonts w:ascii="Calibri" w:hAnsi="Calibri"/>
                <w:sz w:val="20"/>
              </w:rPr>
              <w:t>SQLite local database engine hosting the 'uploaded_data' table and runtime session memory schemas.</w:t>
            </w:r>
          </w:p>
        </w:tc>
      </w:tr>
    </w:tbl>
    <w:p>
      <w:pPr>
        <w:spacing w:after="240"/>
      </w:pPr>
    </w:p>
    <w:p>
      <w:pPr>
        <w:pStyle w:val="Heading1"/>
        <w:keepNext/>
        <w:spacing w:before="240" w:after="120"/>
      </w:pPr>
      <w:r>
        <w:rPr>
          <w:rFonts w:ascii="Arial" w:hAnsi="Arial"/>
          <w:color w:val="1E3A8A"/>
          <w:sz w:val="36"/>
        </w:rPr>
        <w:t>3. End-to-End User Journey (The AI Assistant Pipeline)</w:t>
      </w:r>
    </w:p>
    <w:p>
      <w:r>
        <w:t>This section outlines the detailed execution pipeline starting from when a user inputs a natural language query into the AI Assistant chat, to the retrieval and final visual display in the UI.</w:t>
      </w:r>
    </w:p>
    <w:p>
      <w:pPr>
        <w:pStyle w:val="Heading2"/>
        <w:keepNext/>
        <w:spacing w:before="240" w:after="120"/>
      </w:pPr>
      <w:r>
        <w:rPr>
          <w:rFonts w:ascii="Arial" w:hAnsi="Arial"/>
          <w:color w:val="7C3AED"/>
          <w:sz w:val="28"/>
        </w:rPr>
        <w:t>Step 1: User Input Submission</w:t>
      </w:r>
    </w:p>
    <w:p>
      <w:r>
        <w:t xml:space="preserve">The user enters a question in the text input widget (e.g. "Show me a bar chart comparing the number of cases in NY vs CA"). This query is captured by app.py and sent to query_box.py via: </w:t>
      </w:r>
    </w:p>
    <w:p>
      <w:pPr>
        <w:spacing w:before="120" w:after="120"/>
        <w:ind w:left="576"/>
      </w:pPr>
      <w:r>
        <w:rPr>
          <w:rFonts w:ascii="Consolas" w:hAnsi="Consolas"/>
          <w:b/>
          <w:sz w:val="19"/>
        </w:rPr>
        <w:t>render_query_box_tab(schema, active_schema)</w:t>
      </w:r>
    </w:p>
    <w:p>
      <w:pPr>
        <w:pStyle w:val="Heading2"/>
        <w:keepNext/>
        <w:spacing w:before="240" w:after="120"/>
      </w:pPr>
      <w:r>
        <w:rPr>
          <w:rFonts w:ascii="Arial" w:hAnsi="Arial"/>
          <w:color w:val="7C3AED"/>
          <w:sz w:val="28"/>
        </w:rPr>
        <w:t>Step 2: Smart Query Understanding</w:t>
      </w:r>
    </w:p>
    <w:p>
      <w:r>
        <w:t xml:space="preserve">Before writing SQL, query_box.py evaluates the intent and context of the input by calling: </w:t>
      </w:r>
    </w:p>
    <w:p>
      <w:pPr>
        <w:ind w:left="576"/>
      </w:pPr>
      <w:r>
        <w:rPr>
          <w:rFonts w:ascii="Consolas" w:hAnsi="Consolas"/>
          <w:b/>
          <w:sz w:val="19"/>
        </w:rPr>
        <w:t>smart_query_understanding(user_query, schema, conversation_memory)</w:t>
      </w:r>
    </w:p>
    <w:p>
      <w:r>
        <w:t>This function invokes Claude 3 Haiku via config.py (call_llm_haiku) to perform semantic analysis:</w:t>
        <w:br/>
        <w:t>• Intent Detection: Identifies if the query is a new search, a follow-up filter, a visualization request, or a general question.</w:t>
        <w:br/>
        <w:t>• Schema Validation: Confirms if the referenced fields match database capabilities (is_answerable = True/False).</w:t>
        <w:br/>
        <w:t>• Query Normalization: Rewrites misspelled column references and maps synonyms (e.g., 'VP' or 'SYF' is mapped to client_name).</w:t>
      </w:r>
    </w:p>
    <w:p>
      <w:pPr>
        <w:pStyle w:val="Heading2"/>
        <w:keepNext/>
        <w:spacing w:before="240" w:after="120"/>
      </w:pPr>
      <w:r>
        <w:rPr>
          <w:rFonts w:ascii="Arial" w:hAnsi="Arial"/>
          <w:color w:val="7C3AED"/>
          <w:sz w:val="28"/>
        </w:rPr>
        <w:t>Step 3: Conversation Memory &amp; Context Mapping</w:t>
      </w:r>
    </w:p>
    <w:p>
      <w:r>
        <w:t>The system checks if the request builds on a previous query using is_followup_question():</w:t>
      </w:r>
    </w:p>
    <w:p>
      <w:pPr>
        <w:ind w:left="576"/>
      </w:pPr>
      <w:r>
        <w:rPr>
          <w:rFonts w:ascii="Consolas" w:hAnsi="Consolas"/>
          <w:b/>
          <w:sz w:val="19"/>
        </w:rPr>
        <w:t>is_followup_question(user_query, st.session_state.conversation_memory)</w:t>
      </w:r>
    </w:p>
    <w:p>
      <w:r>
        <w:t>If it is a follow-up and the previous output DataFrame was saved, the query is routed to run directly against the temporary session table instead of the main database. This allows hierarchical filtering like: "Filter to chapter 7 filings only" -&gt; "Now plot those by state."</w:t>
      </w:r>
    </w:p>
    <w:p>
      <w:pPr>
        <w:pStyle w:val="Heading2"/>
        <w:keepNext/>
        <w:spacing w:before="240" w:after="120"/>
      </w:pPr>
      <w:r>
        <w:rPr>
          <w:rFonts w:ascii="Arial" w:hAnsi="Arial"/>
          <w:color w:val="7C3AED"/>
          <w:sz w:val="28"/>
        </w:rPr>
        <w:t>Step 4: SQL Code Generation</w:t>
      </w:r>
    </w:p>
    <w:p>
      <w:r>
        <w:t>For database queries, query_box.py structures a detailed prompt template and calls:</w:t>
      </w:r>
    </w:p>
    <w:p>
      <w:pPr>
        <w:ind w:left="576"/>
      </w:pPr>
      <w:r>
        <w:rPr>
          <w:rFonts w:ascii="Consolas" w:hAnsi="Consolas"/>
          <w:b/>
          <w:sz w:val="19"/>
        </w:rPr>
        <w:t>generate_sql_from_question(effective_query, working_schema, conversation_memory)</w:t>
      </w:r>
    </w:p>
    <w:p>
      <w:r>
        <w:t>This function calls call_llm_with_cache() in config.py. The prompt injected into Bedrock contains:</w:t>
        <w:br/>
        <w:t>1. The logical schema metadata loaded from schema.json.</w:t>
        <w:br/>
        <w:t>2. A sample CSV payload representing the first 20 records (from sample_data.csv) to guide few-shot outputs.</w:t>
        <w:br/>
        <w:t>3. Rules demanding SQLite-compliant syntax and forbidding write operations (INSERT, DELETE, UPDATE).</w:t>
        <w:br/>
        <w:t>4. Prior conversational context.</w:t>
      </w:r>
    </w:p>
    <w:p>
      <w:pPr>
        <w:pStyle w:val="Heading2"/>
        <w:keepNext/>
        <w:spacing w:before="240" w:after="120"/>
      </w:pPr>
      <w:r>
        <w:rPr>
          <w:rFonts w:ascii="Arial" w:hAnsi="Arial"/>
          <w:color w:val="7C3AED"/>
          <w:sz w:val="28"/>
        </w:rPr>
        <w:t>Step 5: Safety Validation &amp; Repair</w:t>
      </w:r>
    </w:p>
    <w:p>
      <w:r>
        <w:t>Before execution, the raw generated SQL is passed to a strict validation judge:</w:t>
      </w:r>
    </w:p>
    <w:p>
      <w:pPr>
        <w:ind w:left="576"/>
      </w:pPr>
      <w:r>
        <w:rPr>
          <w:rFonts w:ascii="Consolas" w:hAnsi="Consolas"/>
          <w:b/>
          <w:sz w:val="19"/>
        </w:rPr>
        <w:t>validate_sql_with_judge(extracted_sql, schema, sample_csv_path)</w:t>
      </w:r>
    </w:p>
    <w:p>
      <w:r>
        <w:t>An LLM-based Judge checks the generated script against rules:</w:t>
        <w:br/>
        <w:t>• Verify that the query performs read-only actions (SELECT statement).</w:t>
        <w:br/>
        <w:t>• Verify column references against actual active columns.</w:t>
        <w:br/>
        <w:t>• If minor syntax issues exist, it auto-repairs them and outputs the repaired_query; if a critical failure occurs, it flags it as invalid and halts execution.</w:t>
      </w:r>
    </w:p>
    <w:p>
      <w:pPr>
        <w:pStyle w:val="Heading2"/>
        <w:keepNext/>
        <w:spacing w:before="240" w:after="120"/>
      </w:pPr>
      <w:r>
        <w:rPr>
          <w:rFonts w:ascii="Arial" w:hAnsi="Arial"/>
          <w:color w:val="7C3AED"/>
          <w:sz w:val="28"/>
        </w:rPr>
        <w:t>Step 6: SQL Execution &amp; Session Storage</w:t>
      </w:r>
    </w:p>
    <w:p>
      <w:r>
        <w:t>The validated SQL is sent to the SQLite database:</w:t>
      </w:r>
    </w:p>
    <w:p>
      <w:pPr>
        <w:ind w:left="576"/>
      </w:pPr>
      <w:r>
        <w:rPr>
          <w:rFonts w:ascii="Consolas" w:hAnsi="Consolas"/>
          <w:b/>
          <w:sz w:val="19"/>
        </w:rPr>
        <w:t>execute_sql_query(sql_query)</w:t>
      </w:r>
    </w:p>
    <w:p>
      <w:r>
        <w:t>Using sqlite3, the query executes against data.db and returns a pandas DataFrame. If the query returns a valid dataset, the system calls:</w:t>
        <w:br/>
        <w:t>create_temporary_table_from_dataframe(result_df, final_query)</w:t>
        <w:br/>
        <w:t>This creates an in-memory temporary table (e.g. session_temp_table) in the SQLite database to store the active dataset, making subsequent follow-up queries highly efficient.</w:t>
      </w:r>
    </w:p>
    <w:p>
      <w:pPr>
        <w:pStyle w:val="Heading2"/>
        <w:keepNext/>
        <w:spacing w:before="240" w:after="120"/>
      </w:pPr>
      <w:r>
        <w:rPr>
          <w:rFonts w:ascii="Arial" w:hAnsi="Arial"/>
          <w:color w:val="7C3AED"/>
          <w:sz w:val="28"/>
        </w:rPr>
        <w:t>Step 7: Insight &amp; Text Generation</w:t>
      </w:r>
    </w:p>
    <w:p>
      <w:r>
        <w:t>If data is returned, the system runs insights_generator.py to explain the results:</w:t>
      </w:r>
    </w:p>
    <w:p>
      <w:pPr>
        <w:ind w:left="576"/>
      </w:pPr>
      <w:r>
        <w:rPr>
          <w:rFonts w:ascii="Consolas" w:hAnsi="Consolas"/>
          <w:b/>
          <w:sz w:val="19"/>
        </w:rPr>
        <w:t>generate_insights(result_df, chart_type, user_query)</w:t>
      </w:r>
    </w:p>
    <w:p>
      <w:r>
        <w:t>The module instantiates the DataInsightsGenerator class to analyze columns. It sends the tabular summary to the LLM via call_llm() to produce descriptive narrative insights. It extracts maximums, minimums, percentage splits, and highlights key trends in plain text.</w:t>
      </w:r>
    </w:p>
    <w:p>
      <w:pPr>
        <w:pStyle w:val="Heading2"/>
        <w:keepNext/>
        <w:spacing w:before="240" w:after="120"/>
      </w:pPr>
      <w:r>
        <w:rPr>
          <w:rFonts w:ascii="Arial" w:hAnsi="Arial"/>
          <w:color w:val="7C3AED"/>
          <w:sz w:val="28"/>
        </w:rPr>
        <w:t>Step 8: Chart Type Detection</w:t>
      </w:r>
    </w:p>
    <w:p>
      <w:r>
        <w:t>Simultaneously, the assistant determines the visual layout representation via:</w:t>
      </w:r>
    </w:p>
    <w:p>
      <w:pPr>
        <w:ind w:left="576"/>
      </w:pPr>
      <w:r>
        <w:rPr>
          <w:rFonts w:ascii="Consolas" w:hAnsi="Consolas"/>
          <w:b/>
          <w:sz w:val="19"/>
        </w:rPr>
        <w:t>detect_chart_type(user_query)</w:t>
      </w:r>
    </w:p>
    <w:p>
      <w:r>
        <w:t>Based on the query intent (e.g. 'trend' -&gt; line chart, 'distribution/split' -&gt; pie/donut, 'compare' -&gt; bar chart), the helper determines the layout type and configures Plotly/Matplotlib objects using the curated theme color palette (Electric Blue, Emerald, Violet).</w:t>
      </w:r>
    </w:p>
    <w:p>
      <w:pPr>
        <w:pStyle w:val="Heading2"/>
        <w:keepNext/>
        <w:spacing w:before="240" w:after="120"/>
      </w:pPr>
      <w:r>
        <w:rPr>
          <w:rFonts w:ascii="Arial" w:hAnsi="Arial"/>
          <w:color w:val="7C3AED"/>
          <w:sz w:val="28"/>
        </w:rPr>
        <w:t>Step 9: UI Render and Memory Update</w:t>
      </w:r>
    </w:p>
    <w:p>
      <w:r>
        <w:t>Finally, the assistant appends the records and outputs to the memory state and renders to the screen:</w:t>
      </w:r>
    </w:p>
    <w:p>
      <w:pPr>
        <w:ind w:left="576"/>
      </w:pPr>
      <w:r>
        <w:rPr>
          <w:rFonts w:ascii="Consolas" w:hAnsi="Consolas"/>
          <w:b/>
          <w:sz w:val="19"/>
        </w:rPr>
        <w:t>_append_conversation_memory(effective_query, final_query, records, validation_result)</w:t>
      </w:r>
    </w:p>
    <w:p>
      <w:r>
        <w:t>The UI outputs the structured results table (formatted with format_table to uppercase bold column headers), displays the generated Plotly graph, and renders the LLM's bulleted insights under an expandable panel, providing the user with a comprehensive 'Final Answer'.</w:t>
      </w:r>
    </w:p>
    <w:p>
      <w:pPr>
        <w:pStyle w:val="Heading2"/>
      </w:pPr>
      <w:r>
        <w:t>Machine Learning Algorithms Used in Forecasting Engine</w:t>
      </w:r>
    </w:p>
    <w:p>
      <w:r>
        <w:rPr>
          <w:b/>
        </w:rPr>
        <w:t xml:space="preserve">load_monthly_series(): </w:t>
      </w:r>
      <w:r>
        <w:t>Data Pre-processing: Uses Pandas and SQLite aggregations to resample and forward/backward fill time-series data. It acts as the pre-processing layer to format raw case filings into a continuous stationary monthly time-series, preparing it for downstream ML models.</w:t>
      </w:r>
    </w:p>
    <w:p>
      <w:r>
        <w:rPr>
          <w:b/>
        </w:rPr>
        <w:t xml:space="preserve">run_filing_forecast(): </w:t>
      </w:r>
      <w:r>
        <w:t>Validation-Weighted Ensemble: Uses a validation-weighted ensemble of three models on deseasonalized data (STL-lite): Seasonal Naive with Drift (for bounds), Damped Holt's Trend (to prevent runaway extrapolation), and Holt-Winters Additive/Multiplicative (Triple Exponential Smoothing).</w:t>
      </w:r>
    </w:p>
    <w:p>
      <w:r>
        <w:rPr>
          <w:b/>
        </w:rPr>
        <w:t xml:space="preserve">run_chapter_forecast(): </w:t>
      </w:r>
      <w:r>
        <w:t>Independent Univariate Forecasting: Forecasts individual bankruptcy chapters (Ch 7, Ch 11, Ch 13) using additive seasonality and linear/polynomial trend on residuals extracted via Seasonal Decomposition.</w:t>
      </w:r>
    </w:p>
    <w:p>
      <w:r>
        <w:rPr>
          <w:b/>
        </w:rPr>
        <w:t xml:space="preserve">run_risk_score_forecast(): </w:t>
      </w:r>
      <w:r>
        <w:t>Polynomial &amp; Damped Holt Ensemble: Uses an ensemble of Polynomial Fit (Degree 2) and Damped Holt's Trend. Since risk scores do not exhibit the same seasonality as filing volume, this ensemble focuses on capturing medium-term trends and volatility without seasonal constraints.</w:t>
      </w:r>
    </w:p>
    <w:p>
      <w:r>
        <w:rPr>
          <w:b/>
        </w:rPr>
        <w:t xml:space="preserve">detect_state_anomalies(): </w:t>
      </w:r>
      <w:r>
        <w:t>Univariate Gaussian Anomaly Detection: Calculates a Z-Score based on the historical yearly average and standard deviation of filings per state, comparing it against the latest year to flag statistically significant spikes or drops.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