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395C" w14:textId="77777777" w:rsidR="00811F88" w:rsidRPr="00811F88" w:rsidRDefault="00811F88" w:rsidP="00811F88">
      <w:pPr>
        <w:rPr>
          <w:b/>
          <w:bCs/>
        </w:rPr>
      </w:pPr>
      <w:r w:rsidRPr="00811F88">
        <w:rPr>
          <w:b/>
          <w:bCs/>
        </w:rPr>
        <w:t>Key Takeaways</w:t>
      </w:r>
    </w:p>
    <w:p w14:paraId="7C172F0C" w14:textId="77777777" w:rsidR="00811F88" w:rsidRPr="00811F88" w:rsidRDefault="00811F88" w:rsidP="00811F88">
      <w:r w:rsidRPr="00811F88">
        <w:t>IVF and PQ solve different problems and compose: IVF skips the vast majority of vectors by clustering and searching only nearby partitions; PQ compresses the survivors dramatically (e.g., ~384× for a 768-dim vector with m=8, K=256) and reduces each distance computation to a table lookup and addition.</w:t>
      </w:r>
    </w:p>
    <w:p w14:paraId="2074DB25" w14:textId="77777777" w:rsidR="00811F88" w:rsidRPr="00811F88" w:rsidRDefault="00811F88" w:rsidP="00811F88">
      <w:proofErr w:type="spellStart"/>
      <w:r w:rsidRPr="00811F88">
        <w:t>ChromaDB</w:t>
      </w:r>
      <w:proofErr w:type="spellEnd"/>
      <w:r w:rsidRPr="00811F88">
        <w:t xml:space="preserve"> wraps an ANN index (HNSW by default) with persistence, text storage, and metadata filtering — the right default under a few million vectors; graduate to raw FAISS for billion-scale corpora or fine-grained index control.</w:t>
      </w:r>
    </w:p>
    <w:p w14:paraId="3E07D09D" w14:textId="77777777" w:rsidR="00811F88" w:rsidRPr="00811F88" w:rsidRDefault="00811F88" w:rsidP="00811F88">
      <w:r w:rsidRPr="00811F88">
        <w:t xml:space="preserve">Bi-encoders push work offline (fast, approximate, indexable); cross-encoders pay per (query, document) pair (precise, costly, not indexable). The industry standard </w:t>
      </w:r>
      <w:proofErr w:type="gramStart"/>
      <w:r w:rsidRPr="00811F88">
        <w:t>is:</w:t>
      </w:r>
      <w:proofErr w:type="gramEnd"/>
      <w:r w:rsidRPr="00811F88">
        <w:t xml:space="preserve"> retrieve cheap with a bi-encoder, then </w:t>
      </w:r>
      <w:proofErr w:type="spellStart"/>
      <w:r w:rsidRPr="00811F88">
        <w:t>rerank</w:t>
      </w:r>
      <w:proofErr w:type="spellEnd"/>
      <w:r w:rsidRPr="00811F88">
        <w:t xml:space="preserve"> dear with a cross-encoder over only the top candidates.</w:t>
      </w:r>
    </w:p>
    <w:p w14:paraId="4CDAFD63" w14:textId="77777777" w:rsidR="00811F88" w:rsidRPr="00811F88" w:rsidRDefault="00811F88" w:rsidP="00811F88">
      <w:r w:rsidRPr="00811F88">
        <w:t>The three silent killers — scanned PDFs with no text layer, an asymmetric embedding model used without query/passage prefixes, and an L2 metric applied to a cosine-trained model — each degrade answer quality without ever raising an error or crash.</w:t>
      </w:r>
    </w:p>
    <w:p w14:paraId="08379D74" w14:textId="77777777" w:rsidR="00811F88" w:rsidRPr="00811F88" w:rsidRDefault="00811F88" w:rsidP="00811F88">
      <w:r w:rsidRPr="00811F88">
        <w:t>80% of bad RAG answers trace back to poor document processing, not a bad embedding model or a bad LLM — chunking strategy and OCR routing are the highest-leverage design decisions in the whole pipeline.</w:t>
      </w:r>
    </w:p>
    <w:p w14:paraId="58A0207D" w14:textId="77777777" w:rsidR="00811F88" w:rsidRPr="00811F88" w:rsidRDefault="00811F88" w:rsidP="00811F88">
      <w:r w:rsidRPr="00811F88">
        <w:t>Production RAG is not one pipeline but a layered system: request shaping improves what goes in, query routing directs where to look, and a retrieval gateway (previewed here, detailed next session) enforces who can see what and at what cost.</w:t>
      </w:r>
    </w:p>
    <w:p w14:paraId="120B41D7" w14:textId="77777777" w:rsidR="00811F88" w:rsidRPr="00811F88" w:rsidRDefault="00811F88" w:rsidP="00811F88">
      <w:r w:rsidRPr="00811F88">
        <w:t>Routing is a general-purpose mechanism, not just a document-lookup tool — the same rule → embedding → classifier → LLM waterfall applies to choosing a data source, choosing a model/workflow, and choosing a prompt template or index type.</w:t>
      </w:r>
    </w:p>
    <w:p w14:paraId="54F49149" w14:textId="77777777" w:rsidR="00811F88" w:rsidRDefault="00811F88"/>
    <w:sectPr w:rsidR="00811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88"/>
    <w:rsid w:val="0056636F"/>
    <w:rsid w:val="0081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5968"/>
  <w15:chartTrackingRefBased/>
  <w15:docId w15:val="{E305DD83-AD28-448A-9705-8075E092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Ayushya Nagar</dc:creator>
  <cp:keywords/>
  <dc:description/>
  <cp:lastModifiedBy>Ayushya Nagar</cp:lastModifiedBy>
  <cp:revision>1</cp:revision>
  <dcterms:created xsi:type="dcterms:W3CDTF">2026-10-22T13:29:00Z</dcterms:created>
  <dcterms:modified xsi:type="dcterms:W3CDTF">2026-10-22T13:29:00Z</dcterms:modified>
</cp:coreProperties>
</file>