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55D39">
      <w:pPr>
        <w:jc w:val="left"/>
        <w:rPr>
          <w:rFonts w:ascii="Times New Roman" w:hAnsi="Times New Roman" w:eastAsia="宋体" w:cs="Times New Roman"/>
          <w:b/>
          <w:bCs/>
          <w:sz w:val="28"/>
          <w:szCs w:val="22"/>
        </w:rPr>
      </w:pPr>
      <w:r>
        <w:rPr>
          <w:rFonts w:hint="eastAsia" w:ascii="Times New Roman" w:hAnsi="Times New Roman" w:eastAsia="宋体" w:cs="Times New Roman"/>
          <w:b/>
          <w:bCs/>
          <w:sz w:val="28"/>
          <w:szCs w:val="22"/>
        </w:rPr>
        <w:t>附件4</w:t>
      </w:r>
    </w:p>
    <w:p w14:paraId="2BF64706">
      <w:pPr>
        <w:jc w:val="center"/>
        <w:rPr>
          <w:rFonts w:ascii="Times New Roman" w:hAnsi="Times New Roman" w:eastAsia="宋体" w:cs="Times New Roman"/>
          <w:sz w:val="24"/>
          <w:szCs w:val="32"/>
        </w:rPr>
      </w:pPr>
      <w:r>
        <w:rPr>
          <w:rFonts w:ascii="Times New Roman" w:hAnsi="Times New Roman" w:eastAsia="宋体" w:cs="Times New Roman"/>
          <w:b/>
          <w:bCs/>
          <w:sz w:val="28"/>
          <w:szCs w:val="22"/>
        </w:rPr>
        <w:t>专利申请技术交底资料表</w:t>
      </w:r>
    </w:p>
    <w:tbl>
      <w:tblPr>
        <w:tblStyle w:val="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4242"/>
        <w:gridCol w:w="1880"/>
      </w:tblGrid>
      <w:tr w14:paraId="01500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8" w:type="pct"/>
            <w:tcBorders>
              <w:top w:val="double" w:color="A5A5A5" w:sz="4" w:space="0"/>
              <w:left w:val="double" w:color="A5A5A5" w:sz="4" w:space="0"/>
              <w:bottom w:val="single" w:color="A5A5A5" w:sz="4" w:space="0"/>
              <w:right w:val="single" w:color="A5A5A5" w:sz="4" w:space="0"/>
            </w:tcBorders>
            <w:vAlign w:val="center"/>
          </w:tcPr>
          <w:p>
            <w:r/>
            <w:r>
              <w:rPr>
                <w:b/>
                <w:sz w:val="22"/>
              </w:rPr>
              <w:t>专利交底名称：</w:t>
            </w:r>
          </w:p>
        </w:tc>
        <w:tc>
          <w:tcPr>
            <w:tcW w:w="3591" w:type="pct"/>
            <w:gridSpan w:val="2"/>
            <w:tcBorders>
              <w:top w:val="double" w:color="A5A5A5" w:sz="4" w:space="0"/>
              <w:left w:val="single" w:color="A5A5A5" w:sz="4" w:space="0"/>
              <w:bottom w:val="single" w:color="A5A5A5" w:sz="4" w:space="0"/>
              <w:right w:val="double" w:color="A5A5A5" w:sz="4" w:space="0"/>
            </w:tcBorders>
            <w:vAlign w:val="center"/>
          </w:tcPr>
          <w:p>
            <w:r/>
            <w:r>
              <w:rPr>
                <w:sz w:val="22"/>
              </w:rPr>
              <w:t>一种基于受控上下电瞬态响应的传感器物理身份提取方法、装置及系统</w:t>
            </w:r>
          </w:p>
        </w:tc>
      </w:tr>
      <w:tr w14:paraId="2D2A7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08" w:type="pct"/>
            <w:tcBorders>
              <w:top w:val="single" w:color="A5A5A5" w:sz="4" w:space="0"/>
              <w:left w:val="double" w:color="A5A5A5" w:sz="4" w:space="0"/>
              <w:bottom w:val="single" w:color="A5A5A5" w:sz="4" w:space="0"/>
              <w:right w:val="single" w:color="A5A5A5" w:sz="4" w:space="0"/>
            </w:tcBorders>
            <w:vAlign w:val="center"/>
          </w:tcPr>
          <w:p>
            <w:r/>
            <w:r>
              <w:rPr>
                <w:b/>
                <w:sz w:val="22"/>
              </w:rPr>
              <w:t>发明人（按顺序）：</w:t>
            </w:r>
          </w:p>
        </w:tc>
        <w:tc>
          <w:tcPr>
            <w:tcW w:w="3591" w:type="pct"/>
            <w:gridSpan w:val="2"/>
            <w:tcBorders>
              <w:top w:val="single" w:color="A5A5A5" w:sz="4" w:space="0"/>
              <w:left w:val="single" w:color="A5A5A5" w:sz="4" w:space="0"/>
              <w:bottom w:val="single" w:color="A5A5A5" w:sz="4" w:space="0"/>
              <w:right w:val="double" w:color="A5A5A5" w:sz="4" w:space="0"/>
            </w:tcBorders>
            <w:vAlign w:val="center"/>
          </w:tcPr>
          <w:p>
            <w:r/>
            <w:r>
              <w:rPr w:highlight="yellow">
                <w:sz w:val="22"/>
              </w:rPr>
              <w:t>【待填写】</w:t>
            </w:r>
          </w:p>
        </w:tc>
      </w:tr>
      <w:tr w14:paraId="39A7F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08" w:type="pct"/>
            <w:tcBorders>
              <w:top w:val="single" w:color="A5A5A5" w:sz="4" w:space="0"/>
              <w:left w:val="double" w:color="A5A5A5" w:sz="4" w:space="0"/>
              <w:bottom w:val="single" w:color="A5A5A5" w:sz="4" w:space="0"/>
              <w:right w:val="single" w:color="A5A5A5" w:sz="4" w:space="0"/>
            </w:tcBorders>
            <w:vAlign w:val="center"/>
          </w:tcPr>
          <w:p>
            <w:r/>
            <w:r>
              <w:rPr>
                <w:b/>
                <w:sz w:val="22"/>
              </w:rPr>
              <w:t>专利权人（申请人）：</w:t>
            </w:r>
          </w:p>
        </w:tc>
        <w:tc>
          <w:tcPr>
            <w:tcW w:w="3591" w:type="pct"/>
            <w:gridSpan w:val="2"/>
            <w:tcBorders>
              <w:top w:val="single" w:color="A5A5A5" w:sz="4" w:space="0"/>
              <w:left w:val="single" w:color="A5A5A5" w:sz="4" w:space="0"/>
              <w:bottom w:val="single" w:color="A5A5A5" w:sz="4" w:space="0"/>
              <w:right w:val="double" w:color="A5A5A5" w:sz="4" w:space="0"/>
            </w:tcBorders>
            <w:vAlign w:val="center"/>
          </w:tcPr>
          <w:p>
            <w:r/>
            <w:r>
              <w:rPr w:highlight="yellow">
                <w:sz w:val="22"/>
              </w:rPr>
              <w:t>【待填写】</w:t>
            </w:r>
          </w:p>
        </w:tc>
      </w:tr>
      <w:tr w14:paraId="3989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08" w:type="pct"/>
            <w:tcBorders>
              <w:top w:val="single" w:color="A5A5A5" w:sz="4" w:space="0"/>
              <w:left w:val="double" w:color="A5A5A5" w:sz="4" w:space="0"/>
              <w:bottom w:val="single" w:color="A5A5A5" w:sz="4" w:space="0"/>
              <w:right w:val="single" w:color="A5A5A5" w:sz="4" w:space="0"/>
            </w:tcBorders>
            <w:vAlign w:val="center"/>
          </w:tcPr>
          <w:p>
            <w:r/>
            <w:r>
              <w:rPr>
                <w:b/>
                <w:sz w:val="22"/>
              </w:rPr>
              <w:t>联系人及联系方式（电话、邮箱）：</w:t>
            </w:r>
          </w:p>
        </w:tc>
        <w:tc>
          <w:tcPr>
            <w:tcW w:w="3591" w:type="pct"/>
            <w:gridSpan w:val="2"/>
            <w:tcBorders>
              <w:top w:val="single" w:color="A5A5A5" w:sz="4" w:space="0"/>
              <w:left w:val="single" w:color="A5A5A5" w:sz="4" w:space="0"/>
              <w:bottom w:val="single" w:color="A5A5A5" w:sz="4" w:space="0"/>
              <w:right w:val="double" w:color="A5A5A5" w:sz="4" w:space="0"/>
            </w:tcBorders>
            <w:vAlign w:val="center"/>
          </w:tcPr>
          <w:p>
            <w:r/>
            <w:r>
              <w:rPr w:highlight="yellow">
                <w:sz w:val="22"/>
              </w:rPr>
              <w:t>【待填写】</w:t>
            </w:r>
          </w:p>
        </w:tc>
      </w:tr>
      <w:tr w14:paraId="0EF85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3897" w:type="pct"/>
            <w:gridSpan w:val="2"/>
            <w:tcBorders>
              <w:top w:val="single" w:color="A5A5A5" w:sz="4" w:space="0"/>
              <w:left w:val="double" w:color="A5A5A5" w:sz="4" w:space="0"/>
              <w:bottom w:val="double" w:color="A5A5A5" w:sz="4" w:space="0"/>
              <w:right w:val="single" w:color="A5A5A5" w:sz="4" w:space="0"/>
            </w:tcBorders>
            <w:vAlign w:val="center"/>
          </w:tcPr>
          <w:p>
            <w:r/>
            <w:r>
              <w:rPr w:highlight="yellow">
                <w:sz w:val="20"/>
              </w:rPr>
              <w:t>【待确认：若有已发表的相关论文或专利请补充】</w:t>
            </w:r>
          </w:p>
        </w:tc>
        <w:tc>
          <w:tcPr>
            <w:tcW w:w="1102" w:type="pct"/>
            <w:tcBorders>
              <w:top w:val="single" w:color="A5A5A5" w:sz="4" w:space="0"/>
              <w:left w:val="single" w:color="A5A5A5" w:sz="4" w:space="0"/>
              <w:bottom w:val="double" w:color="A5A5A5" w:sz="4" w:space="0"/>
              <w:right w:val="double" w:color="A5A5A5" w:sz="4" w:space="0"/>
            </w:tcBorders>
            <w:vAlign w:val="center"/>
          </w:tcPr>
          <w:p w14:paraId="70FF58A3">
            <w:pPr>
              <w:rPr>
                <w:rFonts w:ascii="Times New Roman" w:hAnsi="Times New Roman" w:eastAsia="宋体" w:cs="Times New Roman"/>
                <w:szCs w:val="21"/>
              </w:rPr>
            </w:pPr>
            <w:r>
              <w:rPr>
                <w:rFonts w:ascii="Times New Roman" w:hAnsi="Times New Roman" w:eastAsia="宋体" w:cs="Times New Roman"/>
                <w:szCs w:val="21"/>
              </w:rPr>
              <w:sym w:font="Wingdings 2" w:char="00A3"/>
            </w:r>
            <w:r>
              <w:rPr>
                <w:rFonts w:ascii="Times New Roman" w:hAnsi="Times New Roman" w:eastAsia="宋体" w:cs="Times New Roman"/>
                <w:szCs w:val="21"/>
              </w:rPr>
              <w:t xml:space="preserve">是    </w:t>
            </w:r>
            <w:r>
              <w:rPr>
                <w:rFonts w:ascii="Times New Roman" w:hAnsi="Times New Roman" w:eastAsia="宋体" w:cs="Times New Roman"/>
                <w:szCs w:val="21"/>
              </w:rPr>
              <w:sym w:font="Wingdings 2" w:char="00A3"/>
            </w:r>
            <w:r>
              <w:rPr>
                <w:rFonts w:ascii="Times New Roman" w:hAnsi="Times New Roman" w:eastAsia="宋体" w:cs="Times New Roman"/>
                <w:szCs w:val="21"/>
              </w:rPr>
              <w:t>否</w:t>
            </w:r>
          </w:p>
        </w:tc>
      </w:tr>
      <w:tr w14:paraId="57A9E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tcBorders>
              <w:top w:val="double" w:color="A5A5A5" w:sz="4" w:space="0"/>
              <w:left w:val="double" w:color="A5A5A5" w:sz="4" w:space="0"/>
              <w:bottom w:val="single" w:color="A5A5A5" w:sz="4" w:space="0"/>
              <w:right w:val="double" w:color="A5A5A5" w:sz="4" w:space="0"/>
            </w:tcBorders>
            <w:shd w:val="clear" w:color="auto" w:fill="BEBEBE" w:themeFill="background1" w:themeFillShade="BF"/>
            <w:vAlign w:val="center"/>
          </w:tcPr>
          <w:p>
            <w:pPr>
              <w:jc w:val="center"/>
            </w:pPr>
            <w:r/>
            <w:r>
              <w:rPr>
                <w:b/>
                <w:sz w:val="24"/>
              </w:rPr>
              <w:t>一、发明名称</w:t>
            </w:r>
          </w:p>
        </w:tc>
      </w:tr>
      <w:tr w14:paraId="7F19F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8" w:hRule="atLeast"/>
        </w:trPr>
        <w:tc>
          <w:tcPr>
            <w:tcW w:w="1408" w:type="pct"/>
            <w:tcBorders>
              <w:top w:val="single" w:color="A5A5A5" w:sz="4" w:space="0"/>
              <w:left w:val="double" w:color="A5A5A5" w:sz="4" w:space="0"/>
              <w:bottom w:val="single" w:color="A5A5A5" w:sz="4" w:space="0"/>
              <w:right w:val="single" w:color="A5A5A5" w:sz="4" w:space="0"/>
            </w:tcBorders>
            <w:vAlign w:val="center"/>
          </w:tcPr>
          <w:p>
            <w:r/>
            <w:r>
              <w:rPr>
                <w:b/>
                <w:sz w:val="22"/>
              </w:rPr>
              <w:t>1.1 技术领域</w:t>
            </w:r>
          </w:p>
        </w:tc>
        <w:tc>
          <w:tcPr>
            <w:tcW w:w="3591" w:type="pct"/>
            <w:gridSpan w:val="2"/>
            <w:tcBorders>
              <w:top w:val="single" w:color="A5A5A5" w:sz="4" w:space="0"/>
              <w:left w:val="single" w:color="A5A5A5" w:sz="4" w:space="0"/>
              <w:bottom w:val="single" w:color="A5A5A5" w:sz="4" w:space="0"/>
              <w:right w:val="double" w:color="A5A5A5" w:sz="4" w:space="0"/>
            </w:tcBorders>
            <w:vAlign w:val="center"/>
          </w:tcPr>
          <w:p>
            <w:r/>
            <w:r>
              <w:rPr>
                <w:sz w:val="22"/>
              </w:rPr>
              <w:t>本发明属于传感器身份认证与硬件安全技术领域，具体涉及一种利用传感器在受控电源状态切换（上电/下电）过程中产生的瞬态响应信号，提取由传感器制造差异决定的唯一物理身份特征的方法、装置及系统。适用于工业控制、物联网、环境监测、医疗设备等需要确认所连接传感器身份的各类场景。</w:t>
            </w:r>
          </w:p>
        </w:tc>
      </w:tr>
      <w:tr w14:paraId="27DFB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3" w:hRule="atLeast"/>
        </w:trPr>
        <w:tc>
          <w:tcPr>
            <w:tcW w:w="1408" w:type="pct"/>
            <w:tcBorders>
              <w:top w:val="single" w:color="A5A5A5" w:sz="4" w:space="0"/>
              <w:left w:val="double" w:color="A5A5A5" w:sz="4" w:space="0"/>
              <w:bottom w:val="single" w:color="A5A5A5" w:sz="4" w:space="0"/>
              <w:right w:val="single" w:color="A5A5A5" w:sz="4" w:space="0"/>
            </w:tcBorders>
            <w:vAlign w:val="center"/>
          </w:tcPr>
          <w:p>
            <w:r/>
            <w:r>
              <w:rPr>
                <w:b/>
                <w:sz w:val="22"/>
              </w:rPr>
              <w:t>1.2 现有技术</w:t>
            </w:r>
          </w:p>
        </w:tc>
        <w:tc>
          <w:tcPr>
            <w:tcW w:w="3591" w:type="pct"/>
            <w:gridSpan w:val="2"/>
            <w:tcBorders>
              <w:top w:val="single" w:color="A5A5A5" w:sz="4" w:space="0"/>
              <w:left w:val="single" w:color="A5A5A5" w:sz="4" w:space="0"/>
              <w:bottom w:val="single" w:color="A5A5A5" w:sz="4" w:space="0"/>
              <w:right w:val="double" w:color="A5A5A5" w:sz="4" w:space="0"/>
            </w:tcBorders>
            <w:vAlign w:val="center"/>
          </w:tcPr>
          <w:p>
            <w:r/>
            <w:r>
              <w:rPr>
                <w:sz w:val="22"/>
              </w:rPr>
              <w:t>目前主流的传感器身份确认方式包括：(1) 序列号/电子标签——可被复制、篡改；(2) 标定表/校准参数——同样是数字信息，可被复制到仿冒传感器中；(3) 外部安全芯片（如ATECC508A）——增加硬件成本和PCB面积，且安全芯片本身可能遭受物理攻击；(4) 静态参数测量（电阻、电容、灵敏度等）——易受温度、湿度、老化影响。</w:t>
              <w:br/>
              <w:br/>
              <w:t>在物理不可克隆函数（PUF）方面，现有SRAM PUF利用SRAM上电初值，Arbiter PUF利用门延迟差异，Ring Oscillator PUF利用振荡频率差异，但这些技术均针对芯片内部电路，不适用于通用外部传感器的身份认证。针对传感器的PUF研究仍处于起步阶段，现有方案多依赖传感器静态制造偏差，信号微弱，容易淹没在环境噪声中，认证可靠性不足。</w:t>
            </w:r>
          </w:p>
        </w:tc>
      </w:tr>
      <w:tr w14:paraId="4496B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tcBorders>
              <w:top w:val="double" w:color="A5A5A5" w:sz="4" w:space="0"/>
              <w:left w:val="double" w:color="A5A5A5" w:sz="4" w:space="0"/>
              <w:bottom w:val="single" w:color="A5A5A5" w:sz="4" w:space="0"/>
              <w:right w:val="double" w:color="A5A5A5" w:sz="4" w:space="0"/>
            </w:tcBorders>
            <w:shd w:val="clear" w:color="auto" w:fill="BEBEBE" w:themeFill="background1" w:themeFillShade="BF"/>
            <w:vAlign w:val="center"/>
          </w:tcPr>
          <w:p>
            <w:pPr>
              <w:jc w:val="center"/>
            </w:pPr>
            <w:r/>
            <w:r>
              <w:rPr>
                <w:b/>
                <w:sz w:val="24"/>
              </w:rPr>
              <w:t>二、现有技术存在的问题</w:t>
            </w:r>
          </w:p>
        </w:tc>
      </w:tr>
      <w:tr w14:paraId="7ACC0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1" w:hRule="atLeast"/>
        </w:trPr>
        <w:tc>
          <w:tcPr>
            <w:tcW w:w="5000" w:type="pct"/>
            <w:gridSpan w:val="3"/>
            <w:tcBorders>
              <w:top w:val="single" w:color="A5A5A5" w:sz="4" w:space="0"/>
              <w:left w:val="double" w:color="A5A5A5" w:sz="4" w:space="0"/>
              <w:bottom w:val="double" w:color="A5A5A5" w:sz="4" w:space="0"/>
              <w:right w:val="double" w:color="A5A5A5" w:sz="4" w:space="0"/>
            </w:tcBorders>
          </w:tcPr>
          <w:p>
            <w:r/>
            <w:r>
              <w:rPr>
                <w:sz w:val="22"/>
              </w:rPr>
              <w:t>现有技术存在以下四个主要问题：</w:t>
              <w:br/>
              <w:br/>
              <w:t>1. 身份可复制：数字序列号、标定表等身份凭证属于数字信息，攻击者替换传感器后只需复制原序列号或标定参数即可绕过认证，身份与物理实体之间缺乏不可分离的绑定关系。</w:t>
              <w:br/>
              <w:br/>
              <w:t>2. 需要额外硬件：安全芯片、专用PUF电路等方案需要在现有系统中增加额外的芯片和电路，提高了物料成本和PCB设计复杂度，对于成本敏感的大规模部署场景并不友好。</w:t>
              <w:br/>
              <w:br/>
              <w:t>3. 认证可靠性低：基于静态参数（电阻、电容、灵敏度、零偏等）的方案受环境条件（温度、湿度、供电电压波动、器件老化）影响显著，类内波动与类间差异的比值不理想，导致误拒率（FRR）和误识率（FAR）难以同时优化。</w:t>
              <w:br/>
              <w:br/>
              <w:t>4. 缺乏系统级方案：现有技术多为离散的算法或电路模块，缺少从物理激励生成、信号采集、特征提取到认证判决的完整闭环链路，工程落地难度大。</w:t>
            </w:r>
          </w:p>
        </w:tc>
      </w:tr>
      <w:tr w14:paraId="6DD51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tcBorders>
              <w:top w:val="double" w:color="A5A5A5" w:sz="4" w:space="0"/>
              <w:left w:val="double" w:color="A5A5A5" w:sz="4" w:space="0"/>
              <w:bottom w:val="single" w:color="A5A5A5" w:sz="4" w:space="0"/>
              <w:right w:val="double" w:color="A5A5A5" w:sz="4" w:space="0"/>
            </w:tcBorders>
            <w:shd w:val="clear" w:color="auto" w:fill="BEBEBE" w:themeFill="background1" w:themeFillShade="BF"/>
            <w:vAlign w:val="center"/>
          </w:tcPr>
          <w:p>
            <w:pPr>
              <w:jc w:val="center"/>
            </w:pPr>
            <w:r/>
            <w:r>
              <w:rPr>
                <w:b/>
                <w:sz w:val="24"/>
              </w:rPr>
              <w:t>三、技术方案概述</w:t>
            </w:r>
          </w:p>
        </w:tc>
      </w:tr>
      <w:tr w14:paraId="17E95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3" w:hRule="atLeast"/>
        </w:trPr>
        <w:tc>
          <w:tcPr>
            <w:tcW w:w="5000" w:type="pct"/>
            <w:gridSpan w:val="3"/>
            <w:tcBorders>
              <w:top w:val="single" w:color="A5A5A5" w:sz="4" w:space="0"/>
              <w:left w:val="double" w:color="A5A5A5" w:sz="4" w:space="0"/>
              <w:bottom w:val="single" w:color="A5A5A5" w:sz="4" w:space="0"/>
              <w:right w:val="double" w:color="A5A5A5" w:sz="4" w:space="0"/>
            </w:tcBorders>
          </w:tcPr>
          <w:p>
            <w:r/>
            <w:r>
              <w:rPr>
                <w:sz w:val="22"/>
              </w:rPr>
              <w:t>本发明的核心思想是：以受控电源状态切换（上电或下电）作为传感器的物理身份激励源，在电源切换后预定采样窗口内通过多通道ADC同步采集传感器的瞬态响应信号，通过定点FFT频域变换提取多域身份特征，结合稳定性筛选生成身份模板，在验证阶段将实时响应与模板匹配以确认传感器身份。</w:t>
              <w:br/>
              <w:br/>
              <w:t>技术方案包含以下关键环节：</w:t>
              <w:br/>
              <w:t>（1）受控电源激励：采用FPGA硬件状态机精确控制传感器供电的上下电时序（四态循环：IDLE→POWER_OFF→POWER_ON→HOLD_ON），确保激励的可重复性和时序精度。</w:t>
              <w:br/>
              <w:t>（2）多通道同步采集与质量门控：在电源切换后预定窗口内同步采集双通道瞬态响应（256点，～171kSPS，16-bit），内嵌滑动窗口稳定检测器实时评估采集质量。</w:t>
              <w:br/>
              <w:t>（3）定点频谱变换：对时域瞬态信号进行256点定点FFT，获得128点频域幅度谱。</w:t>
              <w:br/>
              <w:t>（4）多域特征提取：从时域和频域提取多种互补特征（谱形矩、频段最大值、峰位、通道差分/比值、ON/OFF联合特征等）。</w:t>
              <w:br/>
              <w:t>（5）身份模板注册与验证：注册阶段通过多次采集筛选稳定特征并生成模板；验证阶段施加相同激励后提取特征并与模板匹配，支持自适应阈值和多因子联合判决。</w:t>
              <w:br/>
              <w:br/>
              <w:t>整个流程在FPGA单一状态机（14状态闭环）中自动完成，无需人工干预。</w:t>
            </w:r>
          </w:p>
        </w:tc>
      </w:tr>
      <w:tr w14:paraId="44C20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3"/>
            <w:tcBorders>
              <w:top w:val="double" w:color="A5A5A5" w:sz="4" w:space="0"/>
              <w:left w:val="double" w:color="A5A5A5" w:sz="4" w:space="0"/>
              <w:bottom w:val="single" w:color="A5A5A5" w:sz="4" w:space="0"/>
              <w:right w:val="double" w:color="A5A5A5" w:sz="4" w:space="0"/>
            </w:tcBorders>
            <w:shd w:val="clear" w:color="auto" w:fill="BEBEBE" w:themeFill="background1" w:themeFillShade="BF"/>
            <w:vAlign w:val="center"/>
          </w:tcPr>
          <w:p>
            <w:pPr>
              <w:jc w:val="center"/>
            </w:pPr>
            <w:r/>
            <w:r>
              <w:rPr>
                <w:b/>
                <w:sz w:val="24"/>
              </w:rPr>
              <w:t>四、技术方案详细描述</w:t>
            </w:r>
          </w:p>
        </w:tc>
      </w:tr>
      <w:tr w14:paraId="02810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3"/>
            <w:tcBorders>
              <w:top w:val="single" w:color="A5A5A5" w:sz="4" w:space="0"/>
              <w:left w:val="double" w:color="A5A5A5" w:sz="4" w:space="0"/>
              <w:bottom w:val="double" w:color="A5A5A5" w:sz="4" w:space="0"/>
              <w:right w:val="double" w:color="A5A5A5" w:sz="4" w:space="0"/>
            </w:tcBorders>
            <w:vAlign w:val="center"/>
          </w:tcPr>
          <w:p>
            <w:r/>
            <w:r>
              <w:rPr>
                <w:sz w:val="22"/>
              </w:rPr>
              <w:t>4.1 受控电源激励与瞬态采集</w:t>
              <w:br/>
              <w:br/>
              <w:t>系统采用FPGA硬件状态机控制传感器供电的上下电时序。电源控制模块（sensor_power_control）实现四态循环：IDLE→POWER_OFF→POWER_ON→HOLD_ON。POWER_OFF阶段确保传感器充分放电（放电时间可配置，典型值～5ms），POWER_ON阶段发出单时钟周期上电脉冲，HOLD_ON阶段传感器保持供电，ADC在此阶段完成256点双通道同步采集。时序精度由FPGA 200MHz硬件时钟保证，重复性远优于MCU软件控制。</w:t>
              <w:br/>
              <w:br/>
              <w:t>瞬态采集模块（transient_capture）实现256点双通道同步采集，内嵌滑动窗口稳定性检测器。检测逻辑：对每个通道维护一个16样本滑动窗口，当窗口内所有样本值与参考值的偏差均在±20 LSB以内时判定该通道稳定；双通道同时满足稳定条件时记录稳定点索引（stable_point），用作后续特征提取的采集质量参考。当采样值超出容差带时，参考值立即更新、计数器归零，使检测器能适应非单调瞬态波形。</w:t>
              <w:br/>
              <w:br/>
              <w:t>4.2 定点频谱变换</w:t>
              <w:br/>
              <w:br/>
              <w:t>对采集的256点时域信号进行定点FFT（Xilinx FFT v9.1 IP核，16-bit，Pipelined Streaming I/O模式），输出128点频域幅度谱。幅度计算采用功率谱估计：magnitude = (|real|² + |imag|²) / 2。定点FFT在特定缩放配置（SCALE_SCH）下的内部溢出行为可将传感器微小幅值差异映射为频谱中确定性的差异图样，增强身份特征的可区分性。</w:t>
              <w:br/>
              <w:br/>
              <w:t>4.3 多域特征提取</w:t>
              <w:br/>
              <w:br/>
              <w:t>从时域和频域提取互补特征：</w:t>
              <w:br/>
              <w:t>• 时域特征：上升/下降时间、稳定点索引、过冲/下冲幅度、瞬态波形面积/斜率</w:t>
              <w:br/>
              <w:t>• 频域特征：FFT幅度谱各bin幅值、频段最大值（Seg-Max）、频谱峰值位置、段能量、频谱形状矩（均值/方差/偏度/峰度）、峰间距</w:t>
              <w:br/>
              <w:t>• 多通道特征：CH1-CH2差分（抑制共模噪声）、通道比值（增益不变性）、通道间相关系数</w:t>
              <w:br/>
              <w:t>• 双态联合特征：ON/OFF相对特征（比值/差分/拼接）、ON/OFF一致性校验</w:t>
              <w:br/>
              <w:br/>
              <w:t>实验验证表明：CH1-CH2差分将ON信号区分度从55%提升至99%；Shape和Ratios特征在5-fold CV中达到99.60%准确率。</w:t>
              <w:br/>
              <w:br/>
              <w:t>4.4 身份模板注册与验证</w:t>
              <w:br/>
              <w:br/>
              <w:t>注册阶段对同一传感器执行多次（如50次）受控上下电采集，提取每次的多域特征向量，计算各特征的类内波动（变异系数CV=σ/μ）和类间距离（Fisher Score），筛选稳定且可区分的特征子集，生成身份模板（含特征索引、均值μ_i、标准差σ_i、距离阈值τ）。</w:t>
              <w:br/>
              <w:br/>
              <w:t>验证阶段对传感器施加与注册一致的激励，提取同类特征后计算与模板的马氏距离：d = sqrt(Σ(x_i - μ_i)²/σ_i²)。若d &lt; τ则确认身份，否则拒绝或触发重采样。支持自适应阈值（根据OFF信号频谱重心推断环境状态进行漂移补偿）和多因子联合判决（ON/OFF特征分别匹配后综合评分）。</w:t>
            </w:r>
          </w:p>
        </w:tc>
      </w:tr>
      <w:tr w14:paraId="19B33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5000" w:type="pct"/>
            <w:gridSpan w:val="3"/>
            <w:tcBorders>
              <w:top w:val="double" w:color="A5A5A5" w:sz="4" w:space="0"/>
              <w:left w:val="double" w:color="A5A5A5" w:sz="4" w:space="0"/>
              <w:bottom w:val="single" w:color="A5A5A5" w:sz="4" w:space="0"/>
              <w:right w:val="double" w:color="A5A5A5" w:sz="4" w:space="0"/>
            </w:tcBorders>
            <w:shd w:val="clear" w:color="auto" w:fill="BEBEBE" w:themeFill="background1" w:themeFillShade="BF"/>
            <w:vAlign w:val="center"/>
          </w:tcPr>
          <w:p>
            <w:pPr>
              <w:jc w:val="center"/>
            </w:pPr>
            <w:r/>
            <w:r>
              <w:rPr>
                <w:b/>
                <w:sz w:val="24"/>
              </w:rPr>
              <w:t>五、有益效果</w:t>
            </w:r>
          </w:p>
        </w:tc>
      </w:tr>
      <w:tr w14:paraId="7E5DE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0" w:hRule="atLeast"/>
        </w:trPr>
        <w:tc>
          <w:tcPr>
            <w:tcW w:w="5000" w:type="pct"/>
            <w:gridSpan w:val="3"/>
            <w:tcBorders>
              <w:top w:val="single" w:color="A5A5A5" w:sz="4" w:space="0"/>
              <w:left w:val="double" w:color="A5A5A5" w:sz="4" w:space="0"/>
              <w:bottom w:val="single" w:color="A5A5A5" w:sz="4" w:space="0"/>
              <w:right w:val="double" w:color="A5A5A5" w:sz="4" w:space="0"/>
            </w:tcBorders>
          </w:tcPr>
          <w:p>
            <w:r/>
            <w:r>
              <w:rPr>
                <w:sz w:val="22"/>
              </w:rPr>
              <w:t>与现有技术相比，本发明具有以下有益效果：</w:t>
              <w:br/>
              <w:br/>
              <w:t>1. 无需额外安全芯片：利用传感器自身的物理瞬态响应作为身份特征源，复用系统中已有的ADC+FPGA/MCU架构，不增加任何硬件成本。</w:t>
              <w:br/>
              <w:br/>
              <w:t>2. 身份不可复制：瞬态响应由传感器的制造差异（寄生参数、封装差异、材料差异）决定，属于物理不可克隆特征。攻击者即使获得完整的算法描述和注册模板，更换不同传感器后产生的瞬态响应天然不同，无法通过软件或数字手段复制。</w:t>
              <w:br/>
              <w:br/>
              <w:t>3. 双通道差分抗共模噪声：通过CH1-CH2差分处理，有效抑制电源噪声、温度漂移等共模干扰，ON信号区分度从单通道的55%提升至差分的99%，效果显著。</w:t>
              <w:br/>
              <w:br/>
              <w:t>4. 上下电双态联合认证增强可靠性：单一状态（仅ON或仅OFF）可能对环境变化敏感，双态联合认证利用ON/OFF相对关系提供了额外的环境鲁棒性，当两者匹配结果一致时降低阈值要求，不一致时触发重采样或拒绝。</w:t>
              <w:br/>
              <w:br/>
              <w:t>5. 质量门控保障采集一致性：注册和验证阶段均通过滑动窗口稳定检测和完整性校验对采集质量进行评估，自动剔除异常样本，提升模板质量和认证准确率。</w:t>
              <w:br/>
              <w:br/>
              <w:t>6. 全链路闭环自动化：整个流程（电源控制→采集→频谱变换→特征提取→输出）在FPGA单一状态机中自动完成，时序精度高（200MHz时钟），重复性好，无需人工干预。</w:t>
            </w:r>
          </w:p>
        </w:tc>
      </w:tr>
      <w:tr w14:paraId="3D679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5000" w:type="pct"/>
            <w:gridSpan w:val="3"/>
            <w:tcBorders>
              <w:top w:val="double" w:color="A5A5A5" w:sz="4" w:space="0"/>
              <w:left w:val="double" w:color="A5A5A5" w:sz="4" w:space="0"/>
              <w:bottom w:val="single" w:color="A5A5A5" w:sz="4" w:space="0"/>
              <w:right w:val="double" w:color="A5A5A5" w:sz="4" w:space="0"/>
            </w:tcBorders>
            <w:shd w:val="clear" w:color="auto" w:fill="BEBEBE" w:themeFill="background1" w:themeFillShade="BF"/>
            <w:vAlign w:val="center"/>
          </w:tcPr>
          <w:p>
            <w:pPr>
              <w:jc w:val="center"/>
            </w:pPr>
            <w:r/>
            <w:r>
              <w:rPr>
                <w:b/>
                <w:sz w:val="24"/>
              </w:rPr>
              <w:t>六、替代技术方案</w:t>
            </w:r>
          </w:p>
        </w:tc>
      </w:tr>
      <w:tr w14:paraId="16E66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7" w:hRule="atLeast"/>
        </w:trPr>
        <w:tc>
          <w:tcPr>
            <w:tcW w:w="5000" w:type="pct"/>
            <w:gridSpan w:val="3"/>
            <w:tcBorders>
              <w:top w:val="single" w:color="A5A5A5" w:sz="4" w:space="0"/>
              <w:left w:val="double" w:color="A5A5A5" w:sz="4" w:space="0"/>
              <w:bottom w:val="double" w:color="A5A5A5" w:sz="4" w:space="0"/>
              <w:right w:val="double" w:color="A5A5A5" w:sz="4" w:space="0"/>
            </w:tcBorders>
            <w:vAlign w:val="center"/>
          </w:tcPr>
          <w:p>
            <w:r/>
            <w:r>
              <w:rPr>
                <w:sz w:val="22"/>
              </w:rPr>
              <w:t>1. 激励方式替代：除上下电组合激励外，也可单独使用上电激励或下电激励；激励信号可用方波调制、PWM软启动或阶跃脉冲等多种形式替代，根据传感器类型选用最优激励波形。</w:t>
              <w:br/>
              <w:br/>
              <w:t>2. 频谱变换替代：定点FFT可替换为离散小波变换（DWT）或短时傅里叶变换（STFT），以获取时频联合信息，适用于瞬态特征持续时间较长的传感器。</w:t>
              <w:br/>
              <w:br/>
              <w:t>3. 特征提取替代：除所述多域特征外，可采用深度学习自编码器（Autoencoder）或对比学习（Contrastive Learning）自动学习最优特征表示，但需要额外的训练数据和计算资源。</w:t>
              <w:br/>
              <w:br/>
              <w:t>4. 平台替代：FPGA可由MCU+DSP或ASIC替代，但需注意时序精度和并行处理能力的损失。</w:t>
              <w:br/>
              <w:br/>
              <w:t>5. 匹配方式替代：除马氏距离外，可选用余弦相似度、欧氏距离、LDA分类器、SVM或概率模型等多种匹配方式。</w:t>
            </w:r>
          </w:p>
        </w:tc>
      </w:tr>
      <w:tr w14:paraId="6B76B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5000" w:type="pct"/>
            <w:gridSpan w:val="3"/>
            <w:tcBorders>
              <w:top w:val="double" w:color="A5A5A5" w:sz="4" w:space="0"/>
              <w:left w:val="double" w:color="A5A5A5" w:sz="4" w:space="0"/>
              <w:bottom w:val="single" w:color="A5A5A5" w:sz="4" w:space="0"/>
              <w:right w:val="double" w:color="A5A5A5" w:sz="4" w:space="0"/>
            </w:tcBorders>
            <w:shd w:val="clear" w:color="auto" w:fill="BEBEBE" w:themeFill="background1" w:themeFillShade="BF"/>
            <w:vAlign w:val="center"/>
          </w:tcPr>
          <w:p>
            <w:pPr>
              <w:jc w:val="center"/>
            </w:pPr>
            <w:r/>
            <w:r>
              <w:rPr>
                <w:b/>
                <w:sz w:val="24"/>
              </w:rPr>
              <w:t>七、术语解释</w:t>
            </w:r>
          </w:p>
        </w:tc>
      </w:tr>
      <w:tr w14:paraId="318BB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9" w:hRule="atLeast"/>
        </w:trPr>
        <w:tc>
          <w:tcPr>
            <w:tcW w:w="5000" w:type="pct"/>
            <w:gridSpan w:val="3"/>
            <w:tcBorders>
              <w:top w:val="single" w:color="A5A5A5" w:sz="4" w:space="0"/>
              <w:left w:val="double" w:color="A5A5A5" w:sz="4" w:space="0"/>
              <w:bottom w:val="double" w:color="A5A5A5" w:sz="4" w:space="0"/>
              <w:right w:val="double" w:color="A5A5A5" w:sz="4" w:space="0"/>
            </w:tcBorders>
          </w:tcPr>
          <w:p>
            <w:r/>
            <w:r>
              <w:rPr>
                <w:sz w:val="22"/>
              </w:rPr>
              <w:t>• PUF（Physical Unclonable Function，物理不可克隆函数）：利用制造过程中不可避免的随机物理差异，提取硬件自身唯一身份特征的技术。</w:t>
              <w:br/>
              <w:t>• FFT（Fast Fourier Transform，快速傅里叶变换）：将时域信号变换为频域表示的算法。</w:t>
              <w:br/>
              <w:t>• SCALE_SCH（Scale Schedule）：Xilinx FFT IP核中控制各蝶形运算阶段缩放因子的参数，用于防止定点溢出，取值范围0-255。</w:t>
              <w:br/>
              <w:t>• ADC（Analog-to-Digital Converter，模数转换器）：将模拟电压信号转换为数字量的器件。</w:t>
              <w:br/>
              <w:t>• FPGA（Field-Programmable Gate Array，现场可编程门阵列）：可重构的数字逻辑芯片。</w:t>
              <w:br/>
              <w:t>• 稳定点（stable_point）：滑动窗口检测器判定双通道均进入稳态时的采样点索引。</w:t>
              <w:br/>
              <w:t>• 身份模板（Identity Template）：注册阶段生成的特征参数集合（特征子集+均值+方差+阈值）。</w:t>
              <w:br/>
              <w:t>• 类内/类间：类内指同一传感器多次采集之间的差异；类间指不同传感器之间的差异。</w:t>
              <w:br/>
              <w:t>• ON/OFF：ON指传感器上电后的瞬态响应；OFF指传感器下电后的瞬态响应。</w:t>
            </w:r>
          </w:p>
        </w:tc>
      </w:tr>
      <w:tr w14:paraId="4C606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trPr>
        <w:tc>
          <w:tcPr>
            <w:tcW w:w="5000" w:type="pct"/>
            <w:gridSpan w:val="3"/>
            <w:tcBorders>
              <w:top w:val="double" w:color="A5A5A5" w:sz="4" w:space="0"/>
              <w:left w:val="double" w:color="A5A5A5" w:sz="4" w:space="0"/>
              <w:bottom w:val="single" w:color="A5A5A5" w:sz="4" w:space="0"/>
              <w:right w:val="double" w:color="A5A5A5" w:sz="4" w:space="0"/>
            </w:tcBorders>
            <w:shd w:val="clear" w:color="auto" w:fill="BEBEBE" w:themeFill="background1" w:themeFillShade="BF"/>
            <w:vAlign w:val="center"/>
          </w:tcPr>
          <w:p>
            <w:pPr>
              <w:jc w:val="center"/>
            </w:pPr>
            <w:r/>
            <w:r>
              <w:rPr>
                <w:b/>
                <w:sz w:val="24"/>
              </w:rPr>
              <w:t>八、参考文献</w:t>
            </w:r>
          </w:p>
        </w:tc>
      </w:tr>
      <w:tr w14:paraId="4D0EC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4" w:hRule="atLeast"/>
        </w:trPr>
        <w:tc>
          <w:tcPr>
            <w:tcW w:w="5000" w:type="pct"/>
            <w:gridSpan w:val="3"/>
            <w:tcBorders>
              <w:top w:val="single" w:color="A5A5A5" w:sz="4" w:space="0"/>
              <w:left w:val="double" w:color="A5A5A5" w:sz="4" w:space="0"/>
              <w:bottom w:val="double" w:color="A5A5A5" w:sz="4" w:space="0"/>
              <w:right w:val="double" w:color="A5A5A5" w:sz="4" w:space="0"/>
            </w:tcBorders>
          </w:tcPr>
          <w:p>
            <w:r/>
            <w:r>
              <w:rPr>
                <w:sz w:val="20"/>
              </w:rPr>
              <w:t>[1] Gassend B, et al. "Silicon physical random functions." ACM CCS, 2002.</w:t>
              <w:br/>
              <w:t>[2] Holcomb D E, et al. "Power-up SRAM state as an identifying fingerprint and source of true random numbers." IEEE TC, 2009.</w:t>
              <w:br/>
              <w:t>[3] Xilinx Inc. "Fast Fourier Transform v9.1 LogiCORE IP Product Guide (PG109)." 2021.</w:t>
              <w:br/>
              <w:t>[4] Analog Devices. "AD7606: 8-Channel DAS with 16-Bit, Bipolar Input, Simultaneous Sampling ADC." Data Sheet, 2010.</w:t>
              <w:br/>
              <w:t>[5] Rosenfeld K, et al. "Sensor physical unclonable functions." IEEE HOST, 2010.</w:t>
            </w:r>
          </w:p>
        </w:tc>
      </w:tr>
    </w:tbl>
    <w:p w14:paraId="4B8440F3">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2"/>
    <w:family w:val="roman"/>
    <w:pitch w:val="default"/>
    <w:sig w:usb0="00000000" w:usb1="00000000" w:usb2="00000000" w:usb3="00000000" w:csb0="80000000" w:csb1="00000000"/>
  </w:font>
  <w:font w:name="Wingdings 2">
    <w:panose1 w:val="050201020105070707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E3YTJlYWIwNTIyOGI1MGEyZDYyODVmNDc5Mjg5ZWMifQ=="/>
  </w:docVars>
  <w:rsids>
    <w:rsidRoot w:val="1BBB48D8"/>
    <w:rsid w:val="0000054B"/>
    <w:rsid w:val="000262D4"/>
    <w:rsid w:val="00042151"/>
    <w:rsid w:val="000E4F4C"/>
    <w:rsid w:val="000F295A"/>
    <w:rsid w:val="001856B8"/>
    <w:rsid w:val="001B75AF"/>
    <w:rsid w:val="00204077"/>
    <w:rsid w:val="0021472D"/>
    <w:rsid w:val="00236F75"/>
    <w:rsid w:val="00251B48"/>
    <w:rsid w:val="00271E30"/>
    <w:rsid w:val="00292F55"/>
    <w:rsid w:val="002B5452"/>
    <w:rsid w:val="00347D64"/>
    <w:rsid w:val="00375E22"/>
    <w:rsid w:val="003B2372"/>
    <w:rsid w:val="003F0076"/>
    <w:rsid w:val="00432ADC"/>
    <w:rsid w:val="004A1F4A"/>
    <w:rsid w:val="005659ED"/>
    <w:rsid w:val="00586B61"/>
    <w:rsid w:val="005911B8"/>
    <w:rsid w:val="005D1E5A"/>
    <w:rsid w:val="005D469F"/>
    <w:rsid w:val="006149D0"/>
    <w:rsid w:val="00712586"/>
    <w:rsid w:val="007620BD"/>
    <w:rsid w:val="007624EB"/>
    <w:rsid w:val="00775BD3"/>
    <w:rsid w:val="00786A9E"/>
    <w:rsid w:val="00810416"/>
    <w:rsid w:val="00916915"/>
    <w:rsid w:val="0095654C"/>
    <w:rsid w:val="009C152B"/>
    <w:rsid w:val="00A60236"/>
    <w:rsid w:val="00A81969"/>
    <w:rsid w:val="00A8303C"/>
    <w:rsid w:val="00AA3003"/>
    <w:rsid w:val="00AE6A1C"/>
    <w:rsid w:val="00AF20C5"/>
    <w:rsid w:val="00B37BFA"/>
    <w:rsid w:val="00B444E9"/>
    <w:rsid w:val="00B54361"/>
    <w:rsid w:val="00BB49CA"/>
    <w:rsid w:val="00BD36BD"/>
    <w:rsid w:val="00C010F6"/>
    <w:rsid w:val="00C661B7"/>
    <w:rsid w:val="00C77F87"/>
    <w:rsid w:val="00CB3477"/>
    <w:rsid w:val="00CD2B68"/>
    <w:rsid w:val="00D76836"/>
    <w:rsid w:val="00DB70DB"/>
    <w:rsid w:val="00DC4D99"/>
    <w:rsid w:val="00DD6AA3"/>
    <w:rsid w:val="00E22691"/>
    <w:rsid w:val="00E67639"/>
    <w:rsid w:val="00E6768F"/>
    <w:rsid w:val="00E75D0B"/>
    <w:rsid w:val="00EC1359"/>
    <w:rsid w:val="00EC22FC"/>
    <w:rsid w:val="00ED6331"/>
    <w:rsid w:val="00FB23F2"/>
    <w:rsid w:val="039A0880"/>
    <w:rsid w:val="06580049"/>
    <w:rsid w:val="071E1739"/>
    <w:rsid w:val="0A5D2EDC"/>
    <w:rsid w:val="0DDA312C"/>
    <w:rsid w:val="16CB435B"/>
    <w:rsid w:val="189E4E50"/>
    <w:rsid w:val="1BBB48D8"/>
    <w:rsid w:val="1C5B26A6"/>
    <w:rsid w:val="1DB15468"/>
    <w:rsid w:val="1EA37C74"/>
    <w:rsid w:val="1EF87EC0"/>
    <w:rsid w:val="21594E7D"/>
    <w:rsid w:val="22F6662C"/>
    <w:rsid w:val="25327A6D"/>
    <w:rsid w:val="26FD2498"/>
    <w:rsid w:val="2A3B4E7F"/>
    <w:rsid w:val="2B8C1757"/>
    <w:rsid w:val="2C340D0C"/>
    <w:rsid w:val="2C662114"/>
    <w:rsid w:val="2ECD464D"/>
    <w:rsid w:val="390B12DC"/>
    <w:rsid w:val="3D31661F"/>
    <w:rsid w:val="3E920F2F"/>
    <w:rsid w:val="46D04FC8"/>
    <w:rsid w:val="49E14865"/>
    <w:rsid w:val="4CA706AC"/>
    <w:rsid w:val="51D86AC1"/>
    <w:rsid w:val="52E15705"/>
    <w:rsid w:val="5C735EC7"/>
    <w:rsid w:val="5CE83C24"/>
    <w:rsid w:val="5D74571C"/>
    <w:rsid w:val="604B7C8B"/>
    <w:rsid w:val="636364AC"/>
    <w:rsid w:val="672D0914"/>
    <w:rsid w:val="68077DF9"/>
    <w:rsid w:val="6B9A0268"/>
    <w:rsid w:val="6F832A49"/>
    <w:rsid w:val="711C66C3"/>
    <w:rsid w:val="7571055C"/>
    <w:rsid w:val="7A6070D3"/>
    <w:rsid w:val="7B6E1557"/>
    <w:rsid w:val="7BC260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Hyperlink"/>
    <w:basedOn w:val="3"/>
    <w:qFormat/>
    <w:uiPriority w:val="0"/>
    <w:rPr>
      <w:color w:val="0000FF"/>
      <w:u w:val="single"/>
    </w:rPr>
  </w:style>
  <w:style w:type="paragraph" w:customStyle="1" w:styleId="5">
    <w:name w:val="修订1"/>
    <w:hidden/>
    <w:unhideWhenUsed/>
    <w:qFormat/>
    <w:uiPriority w:val="99"/>
    <w:rPr>
      <w:rFonts w:asciiTheme="minorHAnsi" w:hAnsiTheme="minorHAnsi" w:eastAsiaTheme="minorEastAsia" w:cstheme="minorBidi"/>
      <w:kern w:val="2"/>
      <w:sz w:val="21"/>
      <w:szCs w:val="24"/>
      <w:lang w:val="en-US" w:eastAsia="zh-CN" w:bidi="ar-SA"/>
    </w:rPr>
  </w:style>
  <w:style w:type="paragraph" w:styleId="6">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8DA1A-9C38-4E09-8DBD-3169FEE83190}">
  <ds:schemaRefs/>
</ds:datastoreItem>
</file>

<file path=docProps/app.xml><?xml version="1.0" encoding="utf-8"?>
<Properties xmlns="http://schemas.openxmlformats.org/officeDocument/2006/extended-properties" xmlns:vt="http://schemas.openxmlformats.org/officeDocument/2006/docPropsVTypes">
  <Template>Normal</Template>
  <Pages>3</Pages>
  <Words>3144</Words>
  <Characters>3298</Characters>
  <Lines>86</Lines>
  <Paragraphs>73</Paragraphs>
  <TotalTime>6</TotalTime>
  <ScaleCrop>false</ScaleCrop>
  <LinksUpToDate>false</LinksUpToDate>
  <CharactersWithSpaces>3322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2025-05-13T08:29:00Z</dcterms:created>
  <dc:creator>信小婷</dc:creator>
  <cp:lastModifiedBy>知盈</cp:lastModifiedBy>
  <dcterms:modified xsi:type="dcterms:W3CDTF">2026-06-02T02:54:06Z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45A9618A198E4109A987C01ACEF9EBD5_13</vt:lpwstr>
  </property>
  <property fmtid="{D5CDD505-2E9C-101B-9397-08002B2CF9AE}" pid="4" name="KSOTemplateDocerSaveRecord">
    <vt:lpwstr>eyJoZGlkIjoiYjM1YWZhZDY4MDQ3M2ViNzI4MzdjZTVkMzUzMzkyMDAiLCJ1c2VySWQiOiIyMzA5ODA5MjQifQ==</vt:lpwstr>
  </property>
</Properties>
</file>