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A55D39">
      <w:pPr>
        <w:jc w:val="left"/>
        <w:rPr>
          <w:rFonts w:ascii="Times New Roman" w:hAnsi="Times New Roman" w:eastAsia="宋体" w:cs="Times New Roman"/>
          <w:b/>
          <w:bCs/>
          <w:sz w:val="28"/>
          <w:szCs w:val="22"/>
        </w:rPr>
      </w:pPr>
      <w:r>
        <w:rPr>
          <w:rFonts w:hint="eastAsia" w:ascii="Times New Roman" w:hAnsi="Times New Roman" w:eastAsia="宋体" w:cs="Times New Roman"/>
          <w:b/>
          <w:bCs/>
          <w:sz w:val="28"/>
          <w:szCs w:val="22"/>
        </w:rPr>
        <w:t>附件4</w:t>
      </w:r>
    </w:p>
    <w:p w14:paraId="2BF64706">
      <w:pPr>
        <w:jc w:val="center"/>
        <w:rPr>
          <w:rFonts w:ascii="Times New Roman" w:hAnsi="Times New Roman" w:eastAsia="宋体" w:cs="Times New Roman"/>
          <w:sz w:val="24"/>
          <w:szCs w:val="32"/>
        </w:rPr>
      </w:pPr>
      <w:r>
        <w:rPr>
          <w:rFonts w:ascii="Times New Roman" w:hAnsi="Times New Roman" w:eastAsia="宋体" w:cs="Times New Roman"/>
          <w:b/>
          <w:bCs/>
          <w:sz w:val="28"/>
          <w:szCs w:val="22"/>
        </w:rPr>
        <w:t>专利申请技术交底资料表</w:t>
      </w:r>
    </w:p>
    <w:tbl>
      <w:tblPr>
        <w:tblStyle w:val="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0"/>
        <w:gridCol w:w="4242"/>
        <w:gridCol w:w="1880"/>
      </w:tblGrid>
      <w:tr w14:paraId="01500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8" w:type="pct"/>
            <w:tcBorders>
              <w:top w:val="double" w:color="A5A5A5" w:sz="4" w:space="0"/>
              <w:left w:val="double" w:color="A5A5A5" w:sz="4" w:space="0"/>
              <w:bottom w:val="single" w:color="A5A5A5" w:sz="4" w:space="0"/>
              <w:right w:val="single" w:color="A5A5A5" w:sz="4" w:space="0"/>
            </w:tcBorders>
            <w:vAlign w:val="center"/>
          </w:tcPr>
          <w:p w14:paraId="220F7990">
            <w:pPr>
              <w:rPr>
                <w:rFonts w:ascii="Times New Roman" w:hAnsi="Times New Roman" w:eastAsia="宋体" w:cs="Times New Roman"/>
                <w:szCs w:val="21"/>
              </w:rPr>
            </w:pPr>
            <w:r>
              <w:rPr>
                <w:rFonts w:ascii="Times New Roman" w:hAnsi="Times New Roman" w:eastAsia="宋体" w:cs="Times New Roman"/>
                <w:szCs w:val="21"/>
              </w:rPr>
              <w:t>专利申请案件名称</w:t>
            </w:r>
          </w:p>
        </w:tc>
        <w:tc>
          <w:tcPr>
            <w:tcW w:w="3591" w:type="pct"/>
            <w:gridSpan w:val="2"/>
            <w:tcBorders>
              <w:top w:val="double" w:color="A5A5A5" w:sz="4" w:space="0"/>
              <w:left w:val="single" w:color="A5A5A5" w:sz="4" w:space="0"/>
              <w:bottom w:val="single" w:color="A5A5A5" w:sz="4" w:space="0"/>
              <w:right w:val="double" w:color="A5A5A5" w:sz="4" w:space="0"/>
            </w:tcBorders>
            <w:vAlign w:val="center"/>
          </w:tcPr>
          <w:p w14:paraId="773E6909">
            <w:r>
              <w:rPr>
                <w:sz w:val="22"/>
              </w:rPr>
              <w:t>一种基于受控上下电瞬态响应的传感器物理身份提取方法、装置及系统</w:t>
            </w:r>
          </w:p>
        </w:tc>
      </w:tr>
      <w:tr w14:paraId="2D2A7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408" w:type="pct"/>
            <w:tcBorders>
              <w:top w:val="single" w:color="A5A5A5" w:sz="4" w:space="0"/>
              <w:left w:val="double" w:color="A5A5A5" w:sz="4" w:space="0"/>
              <w:bottom w:val="single" w:color="A5A5A5" w:sz="4" w:space="0"/>
              <w:right w:val="single" w:color="A5A5A5" w:sz="4" w:space="0"/>
            </w:tcBorders>
            <w:vAlign w:val="center"/>
          </w:tcPr>
          <w:p w14:paraId="75C0DB73">
            <w:pPr>
              <w:rPr>
                <w:rFonts w:ascii="Times New Roman" w:hAnsi="Times New Roman" w:eastAsia="宋体" w:cs="Times New Roman"/>
                <w:szCs w:val="21"/>
              </w:rPr>
            </w:pPr>
            <w:r>
              <w:rPr>
                <w:rFonts w:ascii="Times New Roman" w:hAnsi="Times New Roman" w:eastAsia="宋体" w:cs="Times New Roman"/>
                <w:szCs w:val="21"/>
              </w:rPr>
              <w:t>发明人（按顺序）</w:t>
            </w:r>
          </w:p>
        </w:tc>
        <w:tc>
          <w:tcPr>
            <w:tcW w:w="3591" w:type="pct"/>
            <w:gridSpan w:val="2"/>
            <w:tcBorders>
              <w:top w:val="single" w:color="A5A5A5" w:sz="4" w:space="0"/>
              <w:left w:val="single" w:color="A5A5A5" w:sz="4" w:space="0"/>
              <w:bottom w:val="single" w:color="A5A5A5" w:sz="4" w:space="0"/>
              <w:right w:val="double" w:color="A5A5A5" w:sz="4" w:space="0"/>
            </w:tcBorders>
            <w:vAlign w:val="center"/>
          </w:tcPr>
          <w:p w14:paraId="458E49EF">
            <w:pPr>
              <w:rPr>
                <w:rFonts w:hint="eastAsia" w:eastAsiaTheme="minorEastAsia"/>
                <w:lang w:eastAsia="zh-CN"/>
              </w:rPr>
            </w:pPr>
            <w:r>
              <w:rPr>
                <w:rFonts w:hint="eastAsia"/>
                <w:sz w:val="22"/>
                <w:lang w:val="en-US" w:eastAsia="zh-CN"/>
              </w:rPr>
              <w:t>王昌为</w:t>
            </w:r>
          </w:p>
        </w:tc>
      </w:tr>
      <w:tr w14:paraId="39A7F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408" w:type="pct"/>
            <w:tcBorders>
              <w:top w:val="single" w:color="A5A5A5" w:sz="4" w:space="0"/>
              <w:left w:val="double" w:color="A5A5A5" w:sz="4" w:space="0"/>
              <w:bottom w:val="single" w:color="A5A5A5" w:sz="4" w:space="0"/>
              <w:right w:val="single" w:color="A5A5A5" w:sz="4" w:space="0"/>
            </w:tcBorders>
            <w:vAlign w:val="center"/>
          </w:tcPr>
          <w:p w14:paraId="51BC73D5">
            <w:pPr>
              <w:rPr>
                <w:rFonts w:ascii="Times New Roman" w:hAnsi="Times New Roman" w:eastAsia="宋体" w:cs="Times New Roman"/>
                <w:szCs w:val="21"/>
              </w:rPr>
            </w:pPr>
            <w:r>
              <w:rPr>
                <w:rFonts w:ascii="Times New Roman" w:hAnsi="Times New Roman" w:eastAsia="宋体" w:cs="Times New Roman"/>
                <w:szCs w:val="21"/>
              </w:rPr>
              <w:t>专利权（申请）人</w:t>
            </w:r>
          </w:p>
        </w:tc>
        <w:tc>
          <w:tcPr>
            <w:tcW w:w="3591" w:type="pct"/>
            <w:gridSpan w:val="2"/>
            <w:tcBorders>
              <w:top w:val="single" w:color="A5A5A5" w:sz="4" w:space="0"/>
              <w:left w:val="single" w:color="A5A5A5" w:sz="4" w:space="0"/>
              <w:bottom w:val="single" w:color="A5A5A5" w:sz="4" w:space="0"/>
              <w:right w:val="double" w:color="A5A5A5" w:sz="4" w:space="0"/>
            </w:tcBorders>
            <w:vAlign w:val="center"/>
          </w:tcPr>
          <w:p w14:paraId="45B486E6">
            <w:pPr>
              <w:rPr>
                <w:rFonts w:ascii="Times New Roman" w:hAnsi="Times New Roman" w:eastAsia="宋体" w:cs="Times New Roman"/>
                <w:szCs w:val="21"/>
              </w:rPr>
            </w:pPr>
            <w:r>
              <w:rPr>
                <w:rFonts w:hint="eastAsia" w:ascii="Times New Roman" w:hAnsi="Times New Roman" w:eastAsia="宋体" w:cs="Times New Roman"/>
                <w:szCs w:val="21"/>
              </w:rPr>
              <w:t>甬江实验室</w:t>
            </w:r>
          </w:p>
        </w:tc>
      </w:tr>
      <w:tr w14:paraId="39899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408" w:type="pct"/>
            <w:tcBorders>
              <w:top w:val="single" w:color="A5A5A5" w:sz="4" w:space="0"/>
              <w:left w:val="double" w:color="A5A5A5" w:sz="4" w:space="0"/>
              <w:bottom w:val="single" w:color="A5A5A5" w:sz="4" w:space="0"/>
              <w:right w:val="single" w:color="A5A5A5" w:sz="4" w:space="0"/>
            </w:tcBorders>
            <w:vAlign w:val="center"/>
          </w:tcPr>
          <w:p w14:paraId="7C5C9E9A">
            <w:pPr>
              <w:rPr>
                <w:rFonts w:ascii="Times New Roman" w:hAnsi="Times New Roman" w:eastAsia="宋体" w:cs="Times New Roman"/>
                <w:szCs w:val="21"/>
              </w:rPr>
            </w:pPr>
            <w:r>
              <w:rPr>
                <w:rFonts w:ascii="Times New Roman" w:hAnsi="Times New Roman" w:eastAsia="宋体" w:cs="Times New Roman"/>
                <w:szCs w:val="21"/>
              </w:rPr>
              <w:t>技术问题联系人及其电话、邮箱</w:t>
            </w:r>
          </w:p>
        </w:tc>
        <w:tc>
          <w:tcPr>
            <w:tcW w:w="3591" w:type="pct"/>
            <w:gridSpan w:val="2"/>
            <w:tcBorders>
              <w:top w:val="single" w:color="A5A5A5" w:sz="4" w:space="0"/>
              <w:left w:val="single" w:color="A5A5A5" w:sz="4" w:space="0"/>
              <w:bottom w:val="single" w:color="A5A5A5" w:sz="4" w:space="0"/>
              <w:right w:val="double" w:color="A5A5A5" w:sz="4" w:space="0"/>
            </w:tcBorders>
            <w:vAlign w:val="center"/>
          </w:tcPr>
          <w:p w14:paraId="2FD2F6DF"/>
        </w:tc>
      </w:tr>
      <w:tr w14:paraId="0EF85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7" w:hRule="atLeast"/>
        </w:trPr>
        <w:tc>
          <w:tcPr>
            <w:tcW w:w="3897" w:type="pct"/>
            <w:gridSpan w:val="2"/>
            <w:tcBorders>
              <w:top w:val="single" w:color="A5A5A5" w:sz="4" w:space="0"/>
              <w:left w:val="double" w:color="A5A5A5" w:sz="4" w:space="0"/>
              <w:bottom w:val="double" w:color="A5A5A5" w:sz="4" w:space="0"/>
              <w:right w:val="single" w:color="A5A5A5" w:sz="4" w:space="0"/>
            </w:tcBorders>
            <w:vAlign w:val="center"/>
          </w:tcPr>
          <w:p w14:paraId="6E31365C">
            <w:pPr>
              <w:rPr>
                <w:rFonts w:ascii="Times New Roman" w:hAnsi="Times New Roman" w:eastAsia="宋体" w:cs="Times New Roman"/>
                <w:szCs w:val="21"/>
              </w:rPr>
            </w:pPr>
            <w:r>
              <w:rPr>
                <w:rFonts w:ascii="Times New Roman" w:hAnsi="Times New Roman" w:eastAsia="宋体" w:cs="Times New Roman"/>
                <w:szCs w:val="21"/>
              </w:rPr>
              <w:t>已公开或即将公开发表与本技术相关的资料（期刊、论文、宣传册等）</w:t>
            </w:r>
          </w:p>
        </w:tc>
        <w:tc>
          <w:tcPr>
            <w:tcW w:w="1102" w:type="pct"/>
            <w:tcBorders>
              <w:top w:val="single" w:color="A5A5A5" w:sz="4" w:space="0"/>
              <w:left w:val="single" w:color="A5A5A5" w:sz="4" w:space="0"/>
              <w:bottom w:val="double" w:color="A5A5A5" w:sz="4" w:space="0"/>
              <w:right w:val="double" w:color="A5A5A5" w:sz="4" w:space="0"/>
            </w:tcBorders>
            <w:vAlign w:val="center"/>
          </w:tcPr>
          <w:p w14:paraId="70FF58A3">
            <w:pPr>
              <w:rPr>
                <w:rFonts w:ascii="Times New Roman" w:hAnsi="Times New Roman" w:eastAsia="宋体" w:cs="Times New Roman"/>
                <w:szCs w:val="21"/>
              </w:rPr>
            </w:pPr>
            <w:r>
              <w:rPr>
                <w:rFonts w:ascii="Times New Roman" w:hAnsi="Times New Roman" w:eastAsia="宋体" w:cs="Times New Roman"/>
                <w:szCs w:val="21"/>
              </w:rPr>
              <w:sym w:font="Wingdings 2" w:char="00A3"/>
            </w:r>
            <w:r>
              <w:rPr>
                <w:rFonts w:ascii="Times New Roman" w:hAnsi="Times New Roman" w:eastAsia="宋体" w:cs="Times New Roman"/>
                <w:szCs w:val="21"/>
              </w:rPr>
              <w:t xml:space="preserve">是    </w:t>
            </w:r>
            <w:r>
              <w:rPr>
                <w:rFonts w:ascii="Times New Roman" w:hAnsi="Times New Roman" w:eastAsia="宋体" w:cs="Times New Roman"/>
                <w:szCs w:val="21"/>
              </w:rPr>
              <w:sym w:font="Wingdings 2" w:char="00A3"/>
            </w:r>
            <w:r>
              <w:rPr>
                <w:rFonts w:ascii="Times New Roman" w:hAnsi="Times New Roman" w:eastAsia="宋体" w:cs="Times New Roman"/>
                <w:szCs w:val="21"/>
              </w:rPr>
              <w:t>否</w:t>
            </w:r>
          </w:p>
        </w:tc>
      </w:tr>
      <w:tr w14:paraId="57A9E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3"/>
            <w:tcBorders>
              <w:top w:val="double" w:color="A5A5A5" w:sz="4" w:space="0"/>
              <w:left w:val="double" w:color="A5A5A5" w:sz="4" w:space="0"/>
              <w:bottom w:val="single" w:color="A5A5A5" w:sz="4" w:space="0"/>
              <w:right w:val="double" w:color="A5A5A5" w:sz="4" w:space="0"/>
            </w:tcBorders>
            <w:shd w:val="clear" w:color="auto" w:fill="BEBEBE" w:themeFill="background1" w:themeFillShade="BF"/>
            <w:vAlign w:val="center"/>
          </w:tcPr>
          <w:p w14:paraId="673E2F4F">
            <w:pPr>
              <w:rPr>
                <w:rFonts w:ascii="Times New Roman" w:hAnsi="Times New Roman" w:eastAsia="宋体" w:cs="Times New Roman"/>
                <w:sz w:val="24"/>
              </w:rPr>
            </w:pPr>
            <w:r>
              <w:rPr>
                <w:rFonts w:ascii="Times New Roman" w:hAnsi="Times New Roman" w:eastAsia="宋体" w:cs="Times New Roman"/>
                <w:sz w:val="24"/>
              </w:rPr>
              <w:t>一、背景技术</w:t>
            </w:r>
          </w:p>
        </w:tc>
      </w:tr>
      <w:tr w14:paraId="7F19F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18" w:hRule="atLeast"/>
        </w:trPr>
        <w:tc>
          <w:tcPr>
            <w:tcW w:w="1408" w:type="pct"/>
            <w:tcBorders>
              <w:top w:val="single" w:color="A5A5A5" w:sz="4" w:space="0"/>
              <w:left w:val="double" w:color="A5A5A5" w:sz="4" w:space="0"/>
              <w:bottom w:val="single" w:color="A5A5A5" w:sz="4" w:space="0"/>
              <w:right w:val="single" w:color="A5A5A5" w:sz="4" w:space="0"/>
            </w:tcBorders>
            <w:vAlign w:val="center"/>
          </w:tcPr>
          <w:p w14:paraId="2B73C09E">
            <w:pPr>
              <w:spacing w:line="320" w:lineRule="exact"/>
              <w:rPr>
                <w:rFonts w:ascii="Times New Roman" w:hAnsi="Times New Roman" w:eastAsia="宋体" w:cs="Times New Roman"/>
                <w:sz w:val="24"/>
              </w:rPr>
            </w:pPr>
            <w:r>
              <w:rPr>
                <w:rFonts w:ascii="Times New Roman" w:hAnsi="Times New Roman" w:eastAsia="宋体" w:cs="Times New Roman"/>
                <w:szCs w:val="21"/>
              </w:rPr>
              <w:t>1.1介绍本技术方案所处的技术领域、背景以及相关技术发展</w:t>
            </w:r>
          </w:p>
        </w:tc>
        <w:tc>
          <w:tcPr>
            <w:tcW w:w="3591" w:type="pct"/>
            <w:gridSpan w:val="2"/>
            <w:tcBorders>
              <w:top w:val="single" w:color="A5A5A5" w:sz="4" w:space="0"/>
              <w:left w:val="single" w:color="A5A5A5" w:sz="4" w:space="0"/>
              <w:bottom w:val="single" w:color="A5A5A5" w:sz="4" w:space="0"/>
              <w:right w:val="double" w:color="A5A5A5" w:sz="4" w:space="0"/>
            </w:tcBorders>
            <w:vAlign w:val="center"/>
          </w:tcPr>
          <w:p w14:paraId="5638C845">
            <w:r>
              <w:rPr>
                <w:sz w:val="22"/>
              </w:rPr>
              <w:t>本发明属于传感器身份认证与硬件安全技术领域，具体涉及一种利用传感器在受控电源状态切换（上电/下电）过程中产生的瞬态响应信号，提取由传感器制造差异决定的唯一物理身份特征的方法、装置及系统。适用于工业控制、物联网、环境监测等需要确认传感器身份的场景。</w:t>
            </w:r>
          </w:p>
        </w:tc>
      </w:tr>
      <w:tr w14:paraId="27DFB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3" w:hRule="atLeast"/>
        </w:trPr>
        <w:tc>
          <w:tcPr>
            <w:tcW w:w="1408" w:type="pct"/>
            <w:tcBorders>
              <w:top w:val="single" w:color="A5A5A5" w:sz="4" w:space="0"/>
              <w:left w:val="double" w:color="A5A5A5" w:sz="4" w:space="0"/>
              <w:bottom w:val="single" w:color="A5A5A5" w:sz="4" w:space="0"/>
              <w:right w:val="single" w:color="A5A5A5" w:sz="4" w:space="0"/>
            </w:tcBorders>
            <w:vAlign w:val="center"/>
          </w:tcPr>
          <w:p w14:paraId="224AD590">
            <w:pPr>
              <w:spacing w:line="320" w:lineRule="exact"/>
              <w:rPr>
                <w:rFonts w:ascii="Times New Roman" w:hAnsi="Times New Roman" w:eastAsia="宋体" w:cs="Times New Roman"/>
                <w:sz w:val="24"/>
              </w:rPr>
            </w:pPr>
            <w:r>
              <w:rPr>
                <w:rFonts w:ascii="Times New Roman" w:hAnsi="Times New Roman" w:eastAsia="宋体" w:cs="Times New Roman"/>
                <w:szCs w:val="21"/>
              </w:rPr>
              <w:t>1.2发明最接近的现有技术是什么？</w:t>
            </w:r>
          </w:p>
        </w:tc>
        <w:tc>
          <w:tcPr>
            <w:tcW w:w="3591" w:type="pct"/>
            <w:gridSpan w:val="2"/>
            <w:tcBorders>
              <w:top w:val="single" w:color="A5A5A5" w:sz="4" w:space="0"/>
              <w:left w:val="single" w:color="A5A5A5" w:sz="4" w:space="0"/>
              <w:bottom w:val="single" w:color="A5A5A5" w:sz="4" w:space="0"/>
              <w:right w:val="double" w:color="A5A5A5" w:sz="4" w:space="0"/>
            </w:tcBorders>
            <w:vAlign w:val="center"/>
          </w:tcPr>
          <w:p w14:paraId="4D49407E">
            <w:r>
              <w:rPr>
                <w:sz w:val="22"/>
              </w:rPr>
              <w:t>目前主流的传感器身份确认方式包括：(1) 序列号/电子标签——可被复制篡改；(2) 标定表/校准参数——数字信息可被复制；(3) 外部安全芯片（如ATECC508A）——增加硬件成本；(4) 静态参数测量——易受温度、湿度、老化影响。</w:t>
            </w:r>
            <w:r>
              <w:rPr>
                <w:sz w:val="22"/>
              </w:rPr>
              <w:br w:type="textWrapping"/>
            </w:r>
            <w:r>
              <w:rPr>
                <w:sz w:val="22"/>
              </w:rPr>
              <w:br w:type="textWrapping"/>
            </w:r>
            <w:r>
              <w:rPr>
                <w:sz w:val="22"/>
              </w:rPr>
              <w:t>在PUF方面，SRAM PUF、Arbiter PUF、Ring Oscillator PUF等技术均针对芯片内部电路，不适用于通用外部传感器的身份认证。传感器PUF研究处于起步阶段，现有方案多依赖静态制造偏差，信号微弱，认证可靠性不足。</w:t>
            </w:r>
          </w:p>
        </w:tc>
      </w:tr>
      <w:tr w14:paraId="4496B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3"/>
            <w:tcBorders>
              <w:top w:val="double" w:color="A5A5A5" w:sz="4" w:space="0"/>
              <w:left w:val="double" w:color="A5A5A5" w:sz="4" w:space="0"/>
              <w:bottom w:val="single" w:color="A5A5A5" w:sz="4" w:space="0"/>
              <w:right w:val="double" w:color="A5A5A5" w:sz="4" w:space="0"/>
            </w:tcBorders>
            <w:shd w:val="clear" w:color="auto" w:fill="BEBEBE" w:themeFill="background1" w:themeFillShade="BF"/>
            <w:vAlign w:val="center"/>
          </w:tcPr>
          <w:p w14:paraId="4C17B565">
            <w:pPr>
              <w:rPr>
                <w:rFonts w:ascii="Times New Roman" w:hAnsi="Times New Roman" w:eastAsia="宋体" w:cs="Times New Roman"/>
                <w:szCs w:val="21"/>
              </w:rPr>
            </w:pPr>
            <w:r>
              <w:rPr>
                <w:rFonts w:ascii="Times New Roman" w:hAnsi="Times New Roman" w:eastAsia="宋体" w:cs="Times New Roman"/>
                <w:sz w:val="24"/>
              </w:rPr>
              <w:t>二、现有技术的技术问题</w:t>
            </w:r>
          </w:p>
        </w:tc>
      </w:tr>
      <w:tr w14:paraId="7ACC0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1" w:hRule="atLeast"/>
        </w:trPr>
        <w:tc>
          <w:tcPr>
            <w:tcW w:w="5000" w:type="pct"/>
            <w:gridSpan w:val="3"/>
            <w:tcBorders>
              <w:top w:val="single" w:color="A5A5A5" w:sz="4" w:space="0"/>
              <w:left w:val="double" w:color="A5A5A5" w:sz="4" w:space="0"/>
              <w:bottom w:val="double" w:color="A5A5A5" w:sz="4" w:space="0"/>
              <w:right w:val="double" w:color="A5A5A5" w:sz="4" w:space="0"/>
            </w:tcBorders>
          </w:tcPr>
          <w:p w14:paraId="233AE748">
            <w:r>
              <w:rPr>
                <w:sz w:val="22"/>
              </w:rPr>
              <w:t>1. 身份可复制：数字序列号、标定表等身份凭证属于数字信息，攻击者替换传感器后只需复制原序列号即可绕过认证，身份与物理实体之间缺乏不可分离的绑定关系。</w:t>
            </w:r>
            <w:r>
              <w:rPr>
                <w:sz w:val="22"/>
              </w:rPr>
              <w:br w:type="textWrapping"/>
            </w:r>
            <w:r>
              <w:rPr>
                <w:sz w:val="22"/>
              </w:rPr>
              <w:br w:type="textWrapping"/>
            </w:r>
            <w:r>
              <w:rPr>
                <w:sz w:val="22"/>
              </w:rPr>
              <w:t>2. 需要额外硬件：安全芯片、专用PUF电路等方案需增加额外芯片和电路，提高物料成本和PCB设计复杂度，不利于大规模部署。</w:t>
            </w:r>
            <w:r>
              <w:rPr>
                <w:sz w:val="22"/>
              </w:rPr>
              <w:br w:type="textWrapping"/>
            </w:r>
            <w:r>
              <w:rPr>
                <w:sz w:val="22"/>
              </w:rPr>
              <w:br w:type="textWrapping"/>
            </w:r>
            <w:r>
              <w:rPr>
                <w:sz w:val="22"/>
              </w:rPr>
              <w:t>3. 认证可靠性低：基于静态参数的方案受温度、湿度、供电波动、器件老化影响显著，类内波动与类间差异的比值不理想，误拒率和误识率难以同时优化。</w:t>
            </w:r>
            <w:r>
              <w:rPr>
                <w:sz w:val="22"/>
              </w:rPr>
              <w:br w:type="textWrapping"/>
            </w:r>
            <w:r>
              <w:rPr>
                <w:sz w:val="22"/>
              </w:rPr>
              <w:br w:type="textWrapping"/>
            </w:r>
            <w:r>
              <w:rPr>
                <w:sz w:val="22"/>
              </w:rPr>
              <w:t>4. 缺乏系统级方案：现有技术多为离散算法或电路模块，缺少从物理激励生成、信号采集、特征提取到认证判决的完整闭环链路。</w:t>
            </w:r>
          </w:p>
        </w:tc>
      </w:tr>
      <w:tr w14:paraId="6DD51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3"/>
            <w:tcBorders>
              <w:top w:val="double" w:color="A5A5A5" w:sz="4" w:space="0"/>
              <w:left w:val="double" w:color="A5A5A5" w:sz="4" w:space="0"/>
              <w:bottom w:val="single" w:color="A5A5A5" w:sz="4" w:space="0"/>
              <w:right w:val="double" w:color="A5A5A5" w:sz="4" w:space="0"/>
            </w:tcBorders>
            <w:shd w:val="clear" w:color="auto" w:fill="BEBEBE" w:themeFill="background1" w:themeFillShade="BF"/>
            <w:vAlign w:val="center"/>
          </w:tcPr>
          <w:p w14:paraId="00202FC4">
            <w:pPr>
              <w:rPr>
                <w:rFonts w:ascii="Times New Roman" w:hAnsi="Times New Roman" w:eastAsia="宋体" w:cs="Times New Roman"/>
                <w:sz w:val="24"/>
              </w:rPr>
            </w:pPr>
            <w:r>
              <w:rPr>
                <w:rFonts w:ascii="Times New Roman" w:hAnsi="Times New Roman" w:eastAsia="宋体" w:cs="Times New Roman"/>
                <w:sz w:val="24"/>
              </w:rPr>
              <w:t>三、技术方案的发明点概述</w:t>
            </w:r>
          </w:p>
        </w:tc>
      </w:tr>
      <w:tr w14:paraId="17E95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3" w:hRule="atLeast"/>
        </w:trPr>
        <w:tc>
          <w:tcPr>
            <w:tcW w:w="5000" w:type="pct"/>
            <w:gridSpan w:val="3"/>
            <w:tcBorders>
              <w:top w:val="single" w:color="A5A5A5" w:sz="4" w:space="0"/>
              <w:left w:val="double" w:color="A5A5A5" w:sz="4" w:space="0"/>
              <w:bottom w:val="single" w:color="A5A5A5" w:sz="4" w:space="0"/>
              <w:right w:val="double" w:color="A5A5A5" w:sz="4" w:space="0"/>
            </w:tcBorders>
          </w:tcPr>
          <w:p w14:paraId="68E395A2">
            <w:r>
              <w:rPr>
                <w:sz w:val="22"/>
              </w:rPr>
              <w:t>本发明的核心思想是：以受控电源状态切换（上电或下电）作为传感器的物理身份激励源，在电源切换后预定采样窗口内通过多通道ADC同步采集传感器的瞬态响应信号，通过定点FFT变换提取多域身份特征，结合稳定性筛选生成身份模板，在验证阶段将实时响应与模板匹配以确认传感器身份。</w:t>
            </w:r>
            <w:r>
              <w:rPr>
                <w:sz w:val="22"/>
              </w:rPr>
              <w:br w:type="textWrapping"/>
            </w:r>
            <w:r>
              <w:rPr>
                <w:sz w:val="22"/>
              </w:rPr>
              <w:br w:type="textWrapping"/>
            </w:r>
            <w:r>
              <w:rPr>
                <w:sz w:val="22"/>
              </w:rPr>
              <w:t>方案包含五个关键环节：</w:t>
            </w:r>
            <w:r>
              <w:rPr>
                <w:sz w:val="22"/>
              </w:rPr>
              <w:br w:type="textWrapping"/>
            </w:r>
            <w:r>
              <w:rPr>
                <w:sz w:val="22"/>
              </w:rPr>
              <w:t>（1）受控电源激励：FPGA状态机精确控制上下电时序（四态循环：IDLE→POWER_OFF→POWER_ON→HOLD_ON），确保激励的可重复性。</w:t>
            </w:r>
            <w:r>
              <w:rPr>
                <w:sz w:val="22"/>
              </w:rPr>
              <w:br w:type="textWrapping"/>
            </w:r>
            <w:r>
              <w:rPr>
                <w:sz w:val="22"/>
              </w:rPr>
              <w:t>（2）多通道同步采集与质量门控：双通道同步采集256点瞬态响应（~171kSPS, 16-bit），内嵌滑动窗口稳定检测器。</w:t>
            </w:r>
            <w:r>
              <w:rPr>
                <w:sz w:val="22"/>
              </w:rPr>
              <w:br w:type="textWrapping"/>
            </w:r>
            <w:r>
              <w:rPr>
                <w:sz w:val="22"/>
              </w:rPr>
              <w:t>（3）定点频谱变换：256点定点FFT（Xilinx FFT v9.1），输出128点频域幅度谱。</w:t>
            </w:r>
            <w:r>
              <w:rPr>
                <w:sz w:val="22"/>
              </w:rPr>
              <w:br w:type="textWrapping"/>
            </w:r>
            <w:r>
              <w:rPr>
                <w:sz w:val="22"/>
              </w:rPr>
              <w:t>（4）多域特征提取：归一化谱形特征 + ON/OFF差分 + CH1/CH2差分 + 低频能量比例，通过LDA监督投影实现同传感器样本拉近、异传感器样本推远。</w:t>
            </w:r>
            <w:r>
              <w:rPr>
                <w:sz w:val="22"/>
              </w:rPr>
              <w:br w:type="textWrapping"/>
            </w:r>
            <w:r>
              <w:rPr>
                <w:sz w:val="22"/>
              </w:rPr>
              <w:t>（5）身份模板注册与验证：多次采集→稳定性筛选→生成模板；验证时施加相同激励→提取特征→匹配→确认/拒绝。</w:t>
            </w:r>
            <w:r>
              <w:rPr>
                <w:sz w:val="22"/>
              </w:rPr>
              <w:br w:type="textWrapping"/>
            </w:r>
            <w:r>
              <w:rPr>
                <w:sz w:val="22"/>
              </w:rPr>
              <w:br w:type="textWrapping"/>
            </w:r>
            <w:r>
              <w:rPr>
                <w:sz w:val="22"/>
              </w:rPr>
              <w:t>实验验证：10传感器530样本，LDA嵌入silhouette=0.8905，最近质心分类准确率=100%，异类/同类距离比=27.44x。B2-1在normal/高温/高压/不同日期四条件下稳定聚为一簇。仅用SCH=0（单点）数据即可保持100%准确率，数据量减少256倍，大幅降低部署开销。</w:t>
            </w:r>
          </w:p>
        </w:tc>
      </w:tr>
      <w:tr w14:paraId="44C20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3"/>
            <w:tcBorders>
              <w:top w:val="double" w:color="A5A5A5" w:sz="4" w:space="0"/>
              <w:left w:val="double" w:color="A5A5A5" w:sz="4" w:space="0"/>
              <w:bottom w:val="single" w:color="A5A5A5" w:sz="4" w:space="0"/>
              <w:right w:val="double" w:color="A5A5A5" w:sz="4" w:space="0"/>
            </w:tcBorders>
            <w:shd w:val="clear" w:color="auto" w:fill="BEBEBE" w:themeFill="background1" w:themeFillShade="BF"/>
            <w:vAlign w:val="center"/>
          </w:tcPr>
          <w:p w14:paraId="6D508317">
            <w:pPr>
              <w:rPr>
                <w:rFonts w:ascii="Times New Roman" w:hAnsi="Times New Roman" w:eastAsia="宋体" w:cs="Times New Roman"/>
                <w:sz w:val="24"/>
              </w:rPr>
            </w:pPr>
            <w:r>
              <w:rPr>
                <w:rFonts w:ascii="Times New Roman" w:hAnsi="Times New Roman" w:eastAsia="宋体" w:cs="Times New Roman"/>
                <w:sz w:val="24"/>
              </w:rPr>
              <w:t>四、技术方案的详细阐述</w:t>
            </w:r>
          </w:p>
        </w:tc>
      </w:tr>
      <w:tr w14:paraId="02810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5000" w:type="pct"/>
            <w:gridSpan w:val="3"/>
            <w:tcBorders>
              <w:top w:val="single" w:color="A5A5A5" w:sz="4" w:space="0"/>
              <w:left w:val="double" w:color="A5A5A5" w:sz="4" w:space="0"/>
              <w:bottom w:val="double" w:color="A5A5A5" w:sz="4" w:space="0"/>
              <w:right w:val="double" w:color="A5A5A5" w:sz="4" w:space="0"/>
            </w:tcBorders>
            <w:vAlign w:val="center"/>
          </w:tcPr>
          <w:p w14:paraId="0A5D0921">
            <w:r>
              <w:rPr>
                <w:sz w:val="22"/>
              </w:rPr>
              <w:t>4.1 受控电源激励与瞬态采集</w:t>
            </w:r>
            <w:r>
              <w:rPr>
                <w:sz w:val="22"/>
              </w:rPr>
              <w:br w:type="textWrapping"/>
            </w:r>
            <w:r>
              <w:rPr>
                <w:sz w:val="22"/>
              </w:rPr>
              <w:t>电源控制模块（sensor_power_control）实现四态循环：IDLE→POWER_OFF→POWER_ON→HOLD_ON。POWER_OFF阶段确保传感器充分放电（~5ms），POWER_ON发出单时钟上电脉冲，HOLD_ON阶段传感器保持供电，ADC完成256点双通道同步采集。时序精度由FPGA 200MHz时钟保证，重复性远优于MCU软件控制。</w:t>
            </w:r>
            <w:r>
              <w:rPr>
                <w:sz w:val="22"/>
              </w:rPr>
              <w:br w:type="textWrapping"/>
            </w:r>
            <w:r>
              <w:rPr>
                <w:sz w:val="22"/>
              </w:rPr>
              <w:br w:type="textWrapping"/>
            </w:r>
            <w:r>
              <w:rPr>
                <w:sz w:val="22"/>
              </w:rPr>
              <w:t>瞬态采集模块（transient_capture）内嵌滑动窗口稳定检测器：每个通道维护16样本窗口，窗口内所有值与参考值偏差在±20 LSB以内判定稳定；双通道同时满足时记录stable_point索引。超出容差带时参考值立即更新、计数器归零，适应非单调瞬态波形。</w:t>
            </w:r>
            <w:r>
              <w:rPr>
                <w:sz w:val="22"/>
              </w:rPr>
              <w:br w:type="textWrapping"/>
            </w:r>
            <w:r>
              <w:rPr>
                <w:sz w:val="22"/>
              </w:rPr>
              <w:br w:type="textWrapping"/>
            </w:r>
            <w:r>
              <w:rPr>
                <w:sz w:val="22"/>
              </w:rPr>
              <w:t>4.2 定点频谱变换</w:t>
            </w:r>
            <w:r>
              <w:rPr>
                <w:sz w:val="22"/>
              </w:rPr>
              <w:br w:type="textWrapping"/>
            </w:r>
            <w:r>
              <w:rPr>
                <w:sz w:val="22"/>
              </w:rPr>
              <w:t>256点时域信号→定点FFT（Xilinx FFT v9.1, 16-bit, Pipelined Streaming I/O）→128点频域幅度谱。幅度计算：magnitude = (|real|² + |imag|²) / 2。定点FFT在特定SCALE_SCH配置下的内部溢出行为可将微小幅值差异映射为频谱中确定性差异图样，增强身份特征可区分性。</w:t>
            </w:r>
            <w:r>
              <w:rPr>
                <w:sz w:val="22"/>
              </w:rPr>
              <w:br w:type="textWrapping"/>
            </w:r>
            <w:r>
              <w:rPr>
                <w:sz w:val="22"/>
              </w:rPr>
              <w:br w:type="textWrapping"/>
            </w:r>
            <w:r>
              <w:rPr>
                <w:sz w:val="22"/>
              </w:rPr>
              <w:t>4.3 多域特征提取与判别投影</w:t>
            </w:r>
            <w:r>
              <w:rPr>
                <w:sz w:val="22"/>
              </w:rPr>
              <w:br w:type="textWrapping"/>
            </w:r>
            <w:r>
              <w:rPr>
                <w:sz w:val="22"/>
              </w:rPr>
              <w:t>从四类谱记录（SPECTRUM_CH1、SPECTRUM_CH2、OFF_SPECTRUM_CH1、OFF_SPECTRUM_CH2）提取1828维文件级特征，主要包括：</w:t>
            </w:r>
            <w:r>
              <w:rPr>
                <w:sz w:val="22"/>
              </w:rPr>
              <w:br w:type="textWrapping"/>
            </w:r>
            <w:r>
              <w:rPr>
                <w:sz w:val="22"/>
              </w:rPr>
              <w:t>• 归一化谱形：每条128-bin频谱除以总能量，削弱温度/压力/日期导致的幅值漂移，保留传感器身份对应的相对形状</w:t>
            </w:r>
            <w:r>
              <w:rPr>
                <w:sz w:val="22"/>
              </w:rPr>
              <w:br w:type="textWrapping"/>
            </w:r>
            <w:r>
              <w:rPr>
                <w:sz w:val="22"/>
              </w:rPr>
              <w:t>• 谱形波动：四类谱记录128-bin的标准差，刻画频谱稳定性</w:t>
            </w:r>
            <w:r>
              <w:rPr>
                <w:sz w:val="22"/>
              </w:rPr>
              <w:br w:type="textWrapping"/>
            </w:r>
            <w:r>
              <w:rPr>
                <w:sz w:val="22"/>
              </w:rPr>
              <w:t>• 低频能量比例：0-8、8-16、16-32、32-64、64-128五个频段的能量占比</w:t>
            </w:r>
            <w:r>
              <w:rPr>
                <w:sz w:val="22"/>
              </w:rPr>
              <w:br w:type="textWrapping"/>
            </w:r>
            <w:r>
              <w:rPr>
                <w:sz w:val="22"/>
              </w:rPr>
              <w:t>• ON/OFF差分：SPECTRUM_CH1 - OFF_SPECTRUM_CH1，利用上下电双态联合信息</w:t>
            </w:r>
            <w:r>
              <w:rPr>
                <w:sz w:val="22"/>
              </w:rPr>
              <w:br w:type="textWrapping"/>
            </w:r>
            <w:r>
              <w:rPr>
                <w:sz w:val="22"/>
              </w:rPr>
              <w:t>• CH1/CH2差分：SPECTRUM_CH1 - SPECTRUM_CH2，抑制共模噪声</w:t>
            </w:r>
            <w:r>
              <w:rPr>
                <w:sz w:val="22"/>
              </w:rPr>
              <w:br w:type="textWrapping"/>
            </w:r>
            <w:r>
              <w:rPr>
                <w:sz w:val="22"/>
              </w:rPr>
              <w:t>采用LDA监督判别投影：以传感器编号为监督标签，最大化类间散度、最小化类内散度，在9个判别维度中自动选取silhouette最高的二维平面。</w:t>
            </w:r>
            <w:r>
              <w:rPr>
                <w:sz w:val="22"/>
              </w:rPr>
              <w:br w:type="textWrapping"/>
            </w:r>
            <w:r>
              <w:rPr>
                <w:sz w:val="22"/>
              </w:rPr>
              <w:t>实验验证：10传感器530样本，silhouette=0.8905，最近质心分类准确率=100%，异类/同类距离比=27.44x。B2-1的normal/高温/高压/不同日期四个条件稳定聚为一簇，说明归一化谱形+差分特征有效抓住了传感器的共同身份信号。</w:t>
            </w:r>
            <w:r>
              <w:rPr>
                <w:sz w:val="22"/>
              </w:rPr>
              <w:br w:type="textWrapping"/>
            </w:r>
            <w:r>
              <w:rPr>
                <w:sz w:val="22"/>
              </w:rPr>
              <w:br w:type="textWrapping"/>
            </w:r>
            <w:r>
              <w:rPr>
                <w:sz w:val="22"/>
              </w:rPr>
              <w:t>4.4 身份模板注册与验证</w:t>
            </w:r>
            <w:r>
              <w:rPr>
                <w:sz w:val="22"/>
              </w:rPr>
              <w:br w:type="textWrapping"/>
            </w:r>
            <w:r>
              <w:rPr>
                <w:sz w:val="22"/>
              </w:rPr>
              <w:t>注册：对同一传感器执行多次采集（如50次）→提取多域特征→计算类内波动(CV)和类间距离(Fisher Score)→筛选稳定特征子集→生成模板（特征索引+均值μ_i+标准差σ_i+阈值τ）。</w:t>
            </w:r>
            <w:r>
              <w:rPr>
                <w:sz w:val="22"/>
              </w:rPr>
              <w:br w:type="textWrapping"/>
            </w:r>
            <w:r>
              <w:rPr>
                <w:sz w:val="22"/>
              </w:rPr>
              <w:t>验证：施加一致激励→提取同类特征→计算马氏距离 d=√(Σ(x_i-μ_i)²/σ_i²)→d&lt;τ确认，否则拒绝/重采样。支持自适应阈值（根据OFF频谱重心推断环境状态进行漂移补偿）和多因子联合判决（ON/OFF特征分别匹配后综合评分）。</w:t>
            </w:r>
            <w:r>
              <w:rPr>
                <w:sz w:val="22"/>
              </w:rPr>
              <w:br w:type="textWrapping"/>
            </w:r>
            <w:r>
              <w:rPr>
                <w:sz w:val="22"/>
              </w:rPr>
              <w:br w:type="textWrapping"/>
            </w:r>
            <w:r>
              <w:rPr>
                <w:sz w:val="22"/>
              </w:rPr>
              <w:t>关键发现：仅用SCH=0单点数据即可保持100%分类准确率（silhouette=0.850），采集数据量从每文件~1024行降至4行，减少256倍，大幅降低实际部署的采集时间和传输开销。</w:t>
            </w:r>
          </w:p>
        </w:tc>
      </w:tr>
      <w:tr w14:paraId="19B33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trPr>
        <w:tc>
          <w:tcPr>
            <w:tcW w:w="5000" w:type="pct"/>
            <w:gridSpan w:val="3"/>
            <w:tcBorders>
              <w:top w:val="double" w:color="A5A5A5" w:sz="4" w:space="0"/>
              <w:left w:val="double" w:color="A5A5A5" w:sz="4" w:space="0"/>
              <w:bottom w:val="single" w:color="A5A5A5" w:sz="4" w:space="0"/>
              <w:right w:val="double" w:color="A5A5A5" w:sz="4" w:space="0"/>
            </w:tcBorders>
            <w:shd w:val="clear" w:color="auto" w:fill="BEBEBE" w:themeFill="background1" w:themeFillShade="BF"/>
            <w:vAlign w:val="center"/>
          </w:tcPr>
          <w:p w14:paraId="2A4E522C">
            <w:pPr>
              <w:rPr>
                <w:rFonts w:ascii="Times New Roman" w:hAnsi="Times New Roman" w:eastAsia="宋体" w:cs="Times New Roman"/>
                <w:sz w:val="24"/>
              </w:rPr>
            </w:pPr>
            <w:r>
              <w:rPr>
                <w:rFonts w:ascii="Times New Roman" w:hAnsi="Times New Roman" w:eastAsia="宋体" w:cs="Times New Roman"/>
                <w:sz w:val="24"/>
              </w:rPr>
              <w:t>五、第四项的技术手段产生了什么技术效果</w:t>
            </w:r>
          </w:p>
        </w:tc>
      </w:tr>
      <w:tr w14:paraId="7E5DE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30" w:hRule="atLeast"/>
        </w:trPr>
        <w:tc>
          <w:tcPr>
            <w:tcW w:w="5000" w:type="pct"/>
            <w:gridSpan w:val="3"/>
            <w:tcBorders>
              <w:top w:val="single" w:color="A5A5A5" w:sz="4" w:space="0"/>
              <w:left w:val="double" w:color="A5A5A5" w:sz="4" w:space="0"/>
              <w:bottom w:val="single" w:color="A5A5A5" w:sz="4" w:space="0"/>
              <w:right w:val="double" w:color="A5A5A5" w:sz="4" w:space="0"/>
            </w:tcBorders>
          </w:tcPr>
          <w:p w14:paraId="666EF271">
            <w:r>
              <w:rPr>
                <w:sz w:val="22"/>
              </w:rPr>
              <w:t>1. 无需额外安全芯片：利用传感器自身物理瞬态响应作为身份特征源，复用已有ADC+FPGA/MCU架构，不增加硬件成本。</w:t>
            </w:r>
            <w:r>
              <w:rPr>
                <w:sz w:val="22"/>
              </w:rPr>
              <w:br w:type="textWrapping"/>
            </w:r>
            <w:r>
              <w:rPr>
                <w:sz w:val="22"/>
              </w:rPr>
              <w:br w:type="textWrapping"/>
            </w:r>
            <w:r>
              <w:rPr>
                <w:sz w:val="22"/>
              </w:rPr>
              <w:t>2. 身份不可复制：瞬态响应由制造差异（寄生参数、封装差异、材料差异）决定，属物理不可克隆特征，无法通过软件或数字手段复制。</w:t>
            </w:r>
            <w:r>
              <w:rPr>
                <w:sz w:val="22"/>
              </w:rPr>
              <w:br w:type="textWrapping"/>
            </w:r>
            <w:r>
              <w:rPr>
                <w:sz w:val="22"/>
              </w:rPr>
              <w:br w:type="textWrapping"/>
            </w:r>
            <w:r>
              <w:rPr>
                <w:sz w:val="22"/>
              </w:rPr>
              <w:t>3. 归一化谱形抗环境漂移：频谱除以总能量实现形状归一化，有效削弱温度/压力/日期导致的整体幅值漂移。实验验证：B2-1在normal/高温/高压/不同日期四条件下稳定聚为一簇，异类/同类距离比达27.44x，最近质心分类准确率=100%。</w:t>
            </w:r>
            <w:r>
              <w:rPr>
                <w:sz w:val="22"/>
              </w:rPr>
              <w:br w:type="textWrapping"/>
            </w:r>
            <w:r>
              <w:rPr>
                <w:sz w:val="22"/>
              </w:rPr>
              <w:br w:type="textWrapping"/>
            </w:r>
            <w:r>
              <w:rPr>
                <w:sz w:val="22"/>
              </w:rPr>
              <w:t>4. 双通道差分+ON/OFF联合特征：CH1-CH2差分抑制共模噪声，ON/OFF差分利用上下电双态联合信息，共同构成1828维高鉴别力特征向量，LDA嵌入silhouette=0.8905。</w:t>
            </w:r>
            <w:r>
              <w:rPr>
                <w:sz w:val="22"/>
              </w:rPr>
              <w:br w:type="textWrapping"/>
            </w:r>
            <w:r>
              <w:rPr>
                <w:sz w:val="22"/>
              </w:rPr>
              <w:br w:type="textWrapping"/>
            </w:r>
            <w:r>
              <w:rPr>
                <w:sz w:val="22"/>
              </w:rPr>
              <w:t>5. 单点部署降本增效：仅用SCH=0数据即可保持100%分类准确率（silhouette=0.850），数据量减少256倍（每文件4行vs 1024行），大幅降低采集时间、存储和传输开销。</w:t>
            </w:r>
            <w:r>
              <w:rPr>
                <w:sz w:val="22"/>
              </w:rPr>
              <w:br w:type="textWrapping"/>
            </w:r>
            <w:r>
              <w:rPr>
                <w:sz w:val="22"/>
              </w:rPr>
              <w:br w:type="textWrapping"/>
            </w:r>
            <w:r>
              <w:rPr>
                <w:sz w:val="22"/>
              </w:rPr>
              <w:t>6. 全链路闭环自动化：电源控制→采集→频谱变换→特征提取→输出在FPGA单状态机（14状态）中自动完成，时序精度高（200MHz时钟），无需人工干预。</w:t>
            </w:r>
          </w:p>
        </w:tc>
      </w:tr>
      <w:tr w14:paraId="3D679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9" w:hRule="atLeast"/>
        </w:trPr>
        <w:tc>
          <w:tcPr>
            <w:tcW w:w="5000" w:type="pct"/>
            <w:gridSpan w:val="3"/>
            <w:tcBorders>
              <w:top w:val="double" w:color="A5A5A5" w:sz="4" w:space="0"/>
              <w:left w:val="double" w:color="A5A5A5" w:sz="4" w:space="0"/>
              <w:bottom w:val="single" w:color="A5A5A5" w:sz="4" w:space="0"/>
              <w:right w:val="double" w:color="A5A5A5" w:sz="4" w:space="0"/>
            </w:tcBorders>
            <w:shd w:val="clear" w:color="auto" w:fill="BEBEBE" w:themeFill="background1" w:themeFillShade="BF"/>
            <w:vAlign w:val="center"/>
          </w:tcPr>
          <w:p w14:paraId="72763F4E">
            <w:pPr>
              <w:rPr>
                <w:rFonts w:ascii="Times New Roman" w:hAnsi="Times New Roman" w:eastAsia="宋体" w:cs="Times New Roman"/>
                <w:sz w:val="24"/>
              </w:rPr>
            </w:pPr>
            <w:r>
              <w:rPr>
                <w:rFonts w:ascii="Times New Roman" w:hAnsi="Times New Roman" w:eastAsia="宋体" w:cs="Times New Roman"/>
                <w:sz w:val="24"/>
              </w:rPr>
              <w:t>六、第四项技术方案中可替代方案</w:t>
            </w:r>
          </w:p>
        </w:tc>
      </w:tr>
      <w:tr w14:paraId="16E66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97" w:hRule="atLeast"/>
        </w:trPr>
        <w:tc>
          <w:tcPr>
            <w:tcW w:w="5000" w:type="pct"/>
            <w:gridSpan w:val="3"/>
            <w:tcBorders>
              <w:top w:val="single" w:color="A5A5A5" w:sz="4" w:space="0"/>
              <w:left w:val="double" w:color="A5A5A5" w:sz="4" w:space="0"/>
              <w:bottom w:val="double" w:color="A5A5A5" w:sz="4" w:space="0"/>
              <w:right w:val="double" w:color="A5A5A5" w:sz="4" w:space="0"/>
            </w:tcBorders>
            <w:vAlign w:val="center"/>
          </w:tcPr>
          <w:p w14:paraId="6BC186C6">
            <w:r>
              <w:rPr>
                <w:sz w:val="22"/>
              </w:rPr>
              <w:t>1. 激励替代：除上下电组合外，可单独使用上电或下电激励；可用方波调制、PWM软启动、阶跃脉冲等形式，根据传感器类型选用最优激励波形。</w:t>
            </w:r>
            <w:r>
              <w:rPr>
                <w:sz w:val="22"/>
              </w:rPr>
              <w:br w:type="textWrapping"/>
            </w:r>
            <w:r>
              <w:rPr>
                <w:sz w:val="22"/>
              </w:rPr>
              <w:br w:type="textWrapping"/>
            </w:r>
            <w:r>
              <w:rPr>
                <w:sz w:val="22"/>
              </w:rPr>
              <w:t>2. 频谱变换替代：定点FFT可替换为离散小波变换(DWT)或短时傅里叶变换(STFT)，获取时频联合信息，适用于瞬态特征持续时间较长的传感器。</w:t>
            </w:r>
            <w:r>
              <w:rPr>
                <w:sz w:val="22"/>
              </w:rPr>
              <w:br w:type="textWrapping"/>
            </w:r>
            <w:r>
              <w:rPr>
                <w:sz w:val="22"/>
              </w:rPr>
              <w:br w:type="textWrapping"/>
            </w:r>
            <w:r>
              <w:rPr>
                <w:sz w:val="22"/>
              </w:rPr>
              <w:t>3. 特征替代：可采用深度学习自编码器(Autoencoder)或对比学习(Contrastive Learning)自动学习最优特征表示，但需额外训练数据和计算资源。</w:t>
            </w:r>
            <w:r>
              <w:rPr>
                <w:sz w:val="22"/>
              </w:rPr>
              <w:br w:type="textWrapping"/>
            </w:r>
            <w:r>
              <w:rPr>
                <w:sz w:val="22"/>
              </w:rPr>
              <w:br w:type="textWrapping"/>
            </w:r>
            <w:r>
              <w:rPr>
                <w:sz w:val="22"/>
              </w:rPr>
              <w:t>4. 平台替代：FPGA可由MCU+DSP或ASIC替代，但需注意时序精度和并行处理能力的损失。</w:t>
            </w:r>
            <w:r>
              <w:rPr>
                <w:sz w:val="22"/>
              </w:rPr>
              <w:br w:type="textWrapping"/>
            </w:r>
            <w:r>
              <w:rPr>
                <w:sz w:val="22"/>
              </w:rPr>
              <w:br w:type="textWrapping"/>
            </w:r>
            <w:r>
              <w:rPr>
                <w:sz w:val="22"/>
              </w:rPr>
              <w:t>5. 匹配方式替代：除马氏距离外，可选用余弦相似度、欧氏距离、LDA分类器、SVM等。</w:t>
            </w:r>
          </w:p>
        </w:tc>
      </w:tr>
      <w:tr w14:paraId="6B76B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5000" w:type="pct"/>
            <w:gridSpan w:val="3"/>
            <w:tcBorders>
              <w:top w:val="double" w:color="A5A5A5" w:sz="4" w:space="0"/>
              <w:left w:val="double" w:color="A5A5A5" w:sz="4" w:space="0"/>
              <w:bottom w:val="single" w:color="A5A5A5" w:sz="4" w:space="0"/>
              <w:right w:val="double" w:color="A5A5A5" w:sz="4" w:space="0"/>
            </w:tcBorders>
            <w:shd w:val="clear" w:color="auto" w:fill="BEBEBE" w:themeFill="background1" w:themeFillShade="BF"/>
            <w:vAlign w:val="center"/>
          </w:tcPr>
          <w:p w14:paraId="1FBB31EB">
            <w:pPr>
              <w:spacing w:line="240" w:lineRule="atLeast"/>
              <w:rPr>
                <w:rFonts w:ascii="Times New Roman" w:hAnsi="Times New Roman" w:eastAsia="宋体" w:cs="Times New Roman"/>
                <w:sz w:val="24"/>
              </w:rPr>
            </w:pPr>
            <w:r>
              <w:rPr>
                <w:rFonts w:ascii="Times New Roman" w:hAnsi="Times New Roman" w:eastAsia="宋体" w:cs="Times New Roman"/>
                <w:sz w:val="24"/>
              </w:rPr>
              <w:t>七、术语解释</w:t>
            </w:r>
          </w:p>
        </w:tc>
      </w:tr>
      <w:tr w14:paraId="318BB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9" w:hRule="atLeast"/>
        </w:trPr>
        <w:tc>
          <w:tcPr>
            <w:tcW w:w="5000" w:type="pct"/>
            <w:gridSpan w:val="3"/>
            <w:tcBorders>
              <w:top w:val="single" w:color="A5A5A5" w:sz="4" w:space="0"/>
              <w:left w:val="double" w:color="A5A5A5" w:sz="4" w:space="0"/>
              <w:bottom w:val="double" w:color="A5A5A5" w:sz="4" w:space="0"/>
              <w:right w:val="double" w:color="A5A5A5" w:sz="4" w:space="0"/>
            </w:tcBorders>
          </w:tcPr>
          <w:p w14:paraId="44A2EF90">
            <w:pPr>
              <w:spacing w:line="320" w:lineRule="exact"/>
              <w:rPr>
                <w:rFonts w:ascii="Times New Roman" w:hAnsi="Times New Roman" w:eastAsia="宋体" w:cs="Times New Roman"/>
                <w:sz w:val="20"/>
                <w:szCs w:val="20"/>
              </w:rPr>
            </w:pPr>
            <w:r>
              <w:rPr>
                <w:rFonts w:ascii="Times New Roman" w:hAnsi="Times New Roman" w:eastAsia="宋体" w:cs="Times New Roman"/>
                <w:sz w:val="20"/>
                <w:szCs w:val="20"/>
              </w:rPr>
              <w:t>请对关键术语、技术缩略语进行解释说明，如果有英文缩写，给出英文全称和中文注释。</w:t>
            </w:r>
          </w:p>
          <w:p w14:paraId="1476EDC1">
            <w:pPr>
              <w:spacing w:line="320" w:lineRule="exact"/>
              <w:rPr>
                <w:rFonts w:hint="eastAsia" w:ascii="Times New Roman" w:hAnsi="Times New Roman" w:eastAsia="宋体" w:cs="Times New Roman"/>
                <w:szCs w:val="21"/>
              </w:rPr>
            </w:pPr>
          </w:p>
        </w:tc>
      </w:tr>
      <w:tr w14:paraId="4C606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trPr>
        <w:tc>
          <w:tcPr>
            <w:tcW w:w="5000" w:type="pct"/>
            <w:gridSpan w:val="3"/>
            <w:tcBorders>
              <w:top w:val="double" w:color="A5A5A5" w:sz="4" w:space="0"/>
              <w:left w:val="double" w:color="A5A5A5" w:sz="4" w:space="0"/>
              <w:bottom w:val="single" w:color="A5A5A5" w:sz="4" w:space="0"/>
              <w:right w:val="double" w:color="A5A5A5" w:sz="4" w:space="0"/>
            </w:tcBorders>
            <w:shd w:val="clear" w:color="auto" w:fill="BEBEBE" w:themeFill="background1" w:themeFillShade="BF"/>
            <w:vAlign w:val="center"/>
          </w:tcPr>
          <w:p w14:paraId="590FC0B3">
            <w:pPr>
              <w:wordWrap w:val="0"/>
              <w:rPr>
                <w:rFonts w:ascii="Times New Roman" w:hAnsi="Times New Roman" w:eastAsia="宋体" w:cs="Times New Roman"/>
                <w:sz w:val="24"/>
              </w:rPr>
            </w:pPr>
            <w:r>
              <w:rPr>
                <w:rFonts w:ascii="Times New Roman" w:hAnsi="Times New Roman" w:eastAsia="宋体" w:cs="Times New Roman"/>
                <w:sz w:val="24"/>
              </w:rPr>
              <w:t>八、参考文献</w:t>
            </w:r>
          </w:p>
        </w:tc>
      </w:tr>
      <w:tr w14:paraId="4D0EC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24" w:hRule="atLeast"/>
        </w:trPr>
        <w:tc>
          <w:tcPr>
            <w:tcW w:w="5000" w:type="pct"/>
            <w:gridSpan w:val="3"/>
            <w:tcBorders>
              <w:top w:val="single" w:color="A5A5A5" w:sz="4" w:space="0"/>
              <w:left w:val="double" w:color="A5A5A5" w:sz="4" w:space="0"/>
              <w:bottom w:val="double" w:color="A5A5A5" w:sz="4" w:space="0"/>
              <w:right w:val="double" w:color="A5A5A5" w:sz="4" w:space="0"/>
            </w:tcBorders>
          </w:tcPr>
          <w:p w14:paraId="234299B0">
            <w:pPr>
              <w:spacing w:line="320" w:lineRule="exact"/>
              <w:rPr>
                <w:rFonts w:hint="eastAsia" w:ascii="Times New Roman" w:hAnsi="Times New Roman" w:eastAsia="宋体" w:cs="Times New Roman"/>
                <w:sz w:val="20"/>
                <w:szCs w:val="20"/>
              </w:rPr>
            </w:pPr>
            <w:r>
              <w:rPr>
                <w:rFonts w:ascii="Times New Roman" w:hAnsi="Times New Roman" w:eastAsia="宋体" w:cs="Times New Roman"/>
                <w:sz w:val="20"/>
                <w:szCs w:val="20"/>
              </w:rPr>
              <w:t>对于理解交底书中的技术方案有帮助的</w:t>
            </w:r>
            <w:r>
              <w:rPr>
                <w:rFonts w:ascii="Times New Roman" w:hAnsi="Times New Roman" w:eastAsia="宋体" w:cs="Times New Roman"/>
                <w:b/>
                <w:bCs/>
                <w:sz w:val="20"/>
                <w:szCs w:val="20"/>
              </w:rPr>
              <w:t>专利/论文/期刊/链接</w:t>
            </w:r>
            <w:bookmarkStart w:id="0" w:name="_GoBack"/>
            <w:bookmarkEnd w:id="0"/>
            <w:r>
              <w:rPr>
                <w:rFonts w:hint="eastAsia" w:ascii="Times New Roman" w:hAnsi="Times New Roman" w:eastAsia="宋体" w:cs="Times New Roman"/>
                <w:sz w:val="20"/>
                <w:szCs w:val="20"/>
              </w:rPr>
              <w:t>。</w:t>
            </w:r>
          </w:p>
        </w:tc>
      </w:tr>
    </w:tbl>
    <w:p w14:paraId="4B8440F3">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Wingdings 2">
    <w:panose1 w:val="05020102010507070707"/>
    <w:charset w:val="02"/>
    <w:family w:val="roman"/>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zE3YTJlYWIwNTIyOGI1MGEyZDYyODVmNDc5Mjg5ZWMifQ=="/>
  </w:docVars>
  <w:rsids>
    <w:rsidRoot w:val="1BBB48D8"/>
    <w:rsid w:val="0000054B"/>
    <w:rsid w:val="000262D4"/>
    <w:rsid w:val="00042151"/>
    <w:rsid w:val="000E4F4C"/>
    <w:rsid w:val="000F295A"/>
    <w:rsid w:val="001856B8"/>
    <w:rsid w:val="001B75AF"/>
    <w:rsid w:val="00204077"/>
    <w:rsid w:val="0021472D"/>
    <w:rsid w:val="00236F75"/>
    <w:rsid w:val="00251B48"/>
    <w:rsid w:val="00271E30"/>
    <w:rsid w:val="00292F55"/>
    <w:rsid w:val="002B5452"/>
    <w:rsid w:val="00347D64"/>
    <w:rsid w:val="00375E22"/>
    <w:rsid w:val="003B2372"/>
    <w:rsid w:val="003F0076"/>
    <w:rsid w:val="00432ADC"/>
    <w:rsid w:val="004A1F4A"/>
    <w:rsid w:val="005659ED"/>
    <w:rsid w:val="00586B61"/>
    <w:rsid w:val="005911B8"/>
    <w:rsid w:val="005D1E5A"/>
    <w:rsid w:val="005D469F"/>
    <w:rsid w:val="006149D0"/>
    <w:rsid w:val="00712586"/>
    <w:rsid w:val="007620BD"/>
    <w:rsid w:val="007624EB"/>
    <w:rsid w:val="00775BD3"/>
    <w:rsid w:val="00786A9E"/>
    <w:rsid w:val="00810416"/>
    <w:rsid w:val="00916915"/>
    <w:rsid w:val="0095654C"/>
    <w:rsid w:val="009C152B"/>
    <w:rsid w:val="00A60236"/>
    <w:rsid w:val="00A81969"/>
    <w:rsid w:val="00A8303C"/>
    <w:rsid w:val="00AA3003"/>
    <w:rsid w:val="00AE6A1C"/>
    <w:rsid w:val="00AF20C5"/>
    <w:rsid w:val="00B37BFA"/>
    <w:rsid w:val="00B444E9"/>
    <w:rsid w:val="00B54361"/>
    <w:rsid w:val="00BB49CA"/>
    <w:rsid w:val="00BD36BD"/>
    <w:rsid w:val="00C010F6"/>
    <w:rsid w:val="00C661B7"/>
    <w:rsid w:val="00C77F87"/>
    <w:rsid w:val="00CB3477"/>
    <w:rsid w:val="00CD2B68"/>
    <w:rsid w:val="00D76836"/>
    <w:rsid w:val="00DB70DB"/>
    <w:rsid w:val="00DC4D99"/>
    <w:rsid w:val="00DD6AA3"/>
    <w:rsid w:val="00E22691"/>
    <w:rsid w:val="00E67639"/>
    <w:rsid w:val="00E6768F"/>
    <w:rsid w:val="00E75D0B"/>
    <w:rsid w:val="00EC1359"/>
    <w:rsid w:val="00EC22FC"/>
    <w:rsid w:val="00ED6331"/>
    <w:rsid w:val="00FB23F2"/>
    <w:rsid w:val="039A0880"/>
    <w:rsid w:val="06580049"/>
    <w:rsid w:val="071E1739"/>
    <w:rsid w:val="0A5D2EDC"/>
    <w:rsid w:val="0DDA312C"/>
    <w:rsid w:val="16CB435B"/>
    <w:rsid w:val="189E4E50"/>
    <w:rsid w:val="1BBB48D8"/>
    <w:rsid w:val="1C5B26A6"/>
    <w:rsid w:val="1DB15468"/>
    <w:rsid w:val="1EA37C74"/>
    <w:rsid w:val="1EF87EC0"/>
    <w:rsid w:val="21594E7D"/>
    <w:rsid w:val="22F6662C"/>
    <w:rsid w:val="25327A6D"/>
    <w:rsid w:val="26FD2498"/>
    <w:rsid w:val="2A3B4E7F"/>
    <w:rsid w:val="2B8C1757"/>
    <w:rsid w:val="2C340D0C"/>
    <w:rsid w:val="2C662114"/>
    <w:rsid w:val="2ECD464D"/>
    <w:rsid w:val="37381837"/>
    <w:rsid w:val="390B12DC"/>
    <w:rsid w:val="3D31661F"/>
    <w:rsid w:val="3E920F2F"/>
    <w:rsid w:val="46D04FC8"/>
    <w:rsid w:val="49E14865"/>
    <w:rsid w:val="4CA706AC"/>
    <w:rsid w:val="51D86AC1"/>
    <w:rsid w:val="52E15705"/>
    <w:rsid w:val="5C735EC7"/>
    <w:rsid w:val="5CE83C24"/>
    <w:rsid w:val="5D74571C"/>
    <w:rsid w:val="604B7C8B"/>
    <w:rsid w:val="636364AC"/>
    <w:rsid w:val="672D0914"/>
    <w:rsid w:val="68077DF9"/>
    <w:rsid w:val="6B9A0268"/>
    <w:rsid w:val="6F832A49"/>
    <w:rsid w:val="711C66C3"/>
    <w:rsid w:val="7571055C"/>
    <w:rsid w:val="7A6070D3"/>
    <w:rsid w:val="7B6E1557"/>
    <w:rsid w:val="7BC260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nhideWhenUsed/>
    <w:qFormat/>
    <w:uiPriority w:val="1"/>
  </w:style>
  <w:style w:type="table" w:default="1" w:styleId="2">
    <w:name w:val="Normal Table"/>
    <w:semiHidden/>
    <w:unhideWhenUsed/>
    <w:qFormat/>
    <w:uiPriority w:val="99"/>
    <w:tblPr>
      <w:tblCellMar>
        <w:top w:w="0" w:type="dxa"/>
        <w:left w:w="108" w:type="dxa"/>
        <w:bottom w:w="0" w:type="dxa"/>
        <w:right w:w="108" w:type="dxa"/>
      </w:tblCellMar>
    </w:tblPr>
  </w:style>
  <w:style w:type="character" w:styleId="4">
    <w:name w:val="Hyperlink"/>
    <w:basedOn w:val="3"/>
    <w:qFormat/>
    <w:uiPriority w:val="0"/>
    <w:rPr>
      <w:color w:val="0000FF"/>
      <w:u w:val="single"/>
    </w:rPr>
  </w:style>
  <w:style w:type="paragraph" w:customStyle="1" w:styleId="5">
    <w:name w:val="修订1"/>
    <w:hidden/>
    <w:unhideWhenUsed/>
    <w:qFormat/>
    <w:uiPriority w:val="99"/>
    <w:rPr>
      <w:rFonts w:asciiTheme="minorHAnsi" w:hAnsiTheme="minorHAnsi" w:eastAsiaTheme="minorEastAsia" w:cstheme="minorBidi"/>
      <w:kern w:val="2"/>
      <w:sz w:val="21"/>
      <w:szCs w:val="24"/>
      <w:lang w:val="en-US" w:eastAsia="zh-CN" w:bidi="ar-SA"/>
    </w:rPr>
  </w:style>
  <w:style w:type="paragraph" w:styleId="6">
    <w:name w:val="List Paragraph"/>
    <w:basedOn w:val="1"/>
    <w:unhideWhenUsed/>
    <w:qFormat/>
    <w:uiPriority w:val="99"/>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E8DA1A-9C38-4E09-8DBD-3169FEE83190}">
  <ds:schemaRefs/>
</ds:datastoreItem>
</file>

<file path=docProps/app.xml><?xml version="1.0" encoding="utf-8"?>
<Properties xmlns="http://schemas.openxmlformats.org/officeDocument/2006/extended-properties" xmlns:vt="http://schemas.openxmlformats.org/officeDocument/2006/docPropsVTypes">
  <Template>Normal</Template>
  <Pages>4</Pages>
  <Words>2847</Words>
  <Characters>3690</Characters>
  <Lines>86</Lines>
  <Paragraphs>73</Paragraphs>
  <TotalTime>6</TotalTime>
  <ScaleCrop>false</ScaleCrop>
  <LinksUpToDate>false</LinksUpToDate>
  <CharactersWithSpaces>3757</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2025-05-13T08:29:00Z</dcterms:created>
  <dc:creator>信小婷</dc:creator>
  <cp:lastModifiedBy>沉底的鱼。。</cp:lastModifiedBy>
  <dcterms:modified xsi:type="dcterms:W3CDTF">2026-06-03T08:45:40Z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45A9618A198E4109A987C01ACEF9EBD5_13</vt:lpwstr>
  </property>
  <property fmtid="{D5CDD505-2E9C-101B-9397-08002B2CF9AE}" pid="4" name="KSOTemplateDocerSaveRecord">
    <vt:lpwstr>eyJoZGlkIjoiYzNmOGY0ODhhYjMwZmEwMzkyNjQyOWJkYTZlYjlhNGIiLCJ1c2VySWQiOiIxMDQ3NjM4MjE4In0=</vt:lpwstr>
  </property>
</Properties>
</file>