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Trader Performance vs. Bitcoin Market Sentiment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Analysis of Hyperliquid Historical Trades and the Fear &amp; Greed Index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60"/>
      </w:pPr>
      <w:r>
        <w:rPr>
          <w:sz w:val="22"/>
          <w:szCs w:val="22"/>
        </w:rPr>
        <w:t xml:space="preserve">This analysis merges 211,224 Hyperliquid trade records from 32 accounts (May 2023 – May 2025) with the daily Bitcoin Fear &amp; Greed Index to examine how trader behavior and profitability shift across market sentiment regimes. Of these records, 104,402 are realized (PnL-closing) trades, forming the core dataset for performance analysis.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Four findings stand out: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Traders are more active and take larger positions during Fear. Average position size is $7,375 in Fear vs. $4,234 in Greed — traders bet bigger when the market is anxious.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Raw profitability looks similar or slightly higher in Greed ($105.70 avg PnL/trade, 82.5% win rate) than Fear ($101.86 avg PnL/trade, 84.4% win rate) — but this hides a critical risk difference.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Risk-adjusted returns strongly favor Fear. The volatility of returns during Greed is roughly 16x higher than during Fear, driven by a handful of extreme outlier trades (both large wins and severe losses). Fear-period trading is far more consistent.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Shorting is markedly more profitable during Fear (avg $186.52/trade) than during Greed (avg $44.94/trade), while long positions perform comparably in both regimes — suggesting skilled traders are successfully shorting into panic.</w:t>
      </w:r>
    </w:p>
    <w:p>
      <w:pPr>
        <w:pStyle w:val="Heading1"/>
        <w:spacing w:after="150" w:before="300"/>
      </w:pPr>
      <w:r>
        <w:t xml:space="preserve">2. Data &amp; Methodology</w:t>
      </w:r>
    </w:p>
    <w:p>
      <w:pPr>
        <w:spacing w:after="160"/>
      </w:pPr>
      <w:r>
        <w:rPr>
          <w:sz w:val="22"/>
          <w:szCs w:val="22"/>
        </w:rPr>
        <w:t xml:space="preserve">Dataset 1 — Fear &amp; Greed Index: daily sentiment classification (Extreme Fear, Fear, Neutral, Greed, Extreme Greed) with an underlying 0–100 index value, Feb 2018 – May 2025 (2,644 days).</w:t>
      </w:r>
    </w:p>
    <w:p>
      <w:pPr>
        <w:spacing w:after="160"/>
      </w:pPr>
      <w:r>
        <w:rPr>
          <w:sz w:val="22"/>
          <w:szCs w:val="22"/>
        </w:rPr>
        <w:t xml:space="preserve">Dataset 2 — Hyperliquid Historical Trades: 211,224 individual fills across 246 coins and 32 accounts, including execution price, size (tokens &amp; USD), side, direction (open/close long/short), closed PnL, fees, and timestamps.</w:t>
      </w:r>
    </w:p>
    <w:p>
      <w:pPr>
        <w:spacing w:after="160"/>
      </w:pPr>
      <w:r>
        <w:rPr>
          <w:sz w:val="22"/>
          <w:szCs w:val="22"/>
        </w:rPr>
        <w:t xml:space="preserve">The two datasets were joined on calendar date (IST). 479 of 480 trading days in the trade log had a matching sentiment reading (&gt;99.9% coverage). Analysis focuses on the 104,402 trades with non-zero Closed PnL, since PnL is only realized when a position is closed. Sentiment was analyzed both at the 5-level granularity and collapsed into three buckets (Fear = Fear + Extreme Fear, Greed = Greed + Extreme Greed, Neutral) for cleaner comparison.</w:t>
      </w:r>
    </w:p>
    <w:p>
      <w:pPr>
        <w:pStyle w:val="Heading1"/>
        <w:spacing w:after="150" w:before="300"/>
      </w:pPr>
      <w:r>
        <w:t xml:space="preserve">3. Performance by Sentiment Level</w:t>
      </w:r>
    </w:p>
    <w:p>
      <w:pPr>
        <w:spacing w:after="160"/>
      </w:pPr>
      <w:r>
        <w:rPr>
          <w:sz w:val="22"/>
          <w:szCs w:val="22"/>
        </w:rPr>
        <w:t xml:space="preserve">Average per-trade PnL rises toward the sentiment extremes — Extreme Greed produces the highest average PnL per trade ($130.21) and the highest win rate (89.2%), while Extreme Fear produces the lowest average PnL ($71.03) despite a still-solid 76.2% win rate.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PnL ($)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PnL ($)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Rate (%)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Size ($)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Fees ($)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739,110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71.03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76.2%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5,468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12,230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Fear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29,808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3,357,155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112.63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87.3%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8,041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46,999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18,159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1,292,921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71.20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82.4%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5,556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22,263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Greed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25,176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2,150,129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85.40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76.9%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5,439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29,678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20,853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2,715,171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130.21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89.2%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2,780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13,666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447675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1. Average closed PnL (bars) and win rate (line) across the five sentiment levels.</w:t>
      </w:r>
    </w:p>
    <w:p>
      <w:pPr>
        <w:pStyle w:val="Heading1"/>
        <w:spacing w:after="150" w:before="300"/>
      </w:pPr>
      <w:r>
        <w:t xml:space="preserve">4. Risk-Adjusted Performance: The Hidden Story</w:t>
      </w:r>
    </w:p>
    <w:p>
      <w:pPr>
        <w:spacing w:after="160"/>
      </w:pPr>
      <w:r>
        <w:rPr>
          <w:sz w:val="22"/>
          <w:szCs w:val="22"/>
        </w:rPr>
        <w:t xml:space="preserve">Looking only at average PnL understates an important difference: the dispersion of outcomes. Normalizing each trade's PnL by its position size (return on notional) reveals that Greed-period trades carry far more tail risk.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Sentiment Bucket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PnL ($)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Rate (%)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Return on Notional (%)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Std Dev of Return (%)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Risk-Adj. Ratio*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40,214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101.86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84.4%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2.60%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11.28%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0.230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18,159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71.20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82.4%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2.06%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25.25%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0.082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46,029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105.70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82.5%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5.62%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180.10%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0.031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*Risk-adjusted ratio = mean return on notional / standard deviation of return on notional (a Sharpe-like measure at the trade level).</w:t>
      </w:r>
    </w:p>
    <w:p>
      <w:pPr>
        <w:spacing w:after="100"/>
      </w:pPr>
    </w:p>
    <w:p>
      <w:pPr>
        <w:spacing w:after="160"/>
      </w:pPr>
      <w:r>
        <w:rPr>
          <w:sz w:val="22"/>
          <w:szCs w:val="22"/>
        </w:rPr>
        <w:t xml:space="preserve">Fear-period trades show a risk-adjusted ratio of 0.230 — roughly 7x better than Greed's 0.031. The Greed bucket's return standard deviation (180%) is inflated by rare extreme trades: the single worst Greed-period trade lost 384% of its notional value (consistent with a liquidation event), and a handful of trades gained 100–150% of notional. Fear-period returns are comparatively tight and consistent (11.3% std dev), suggesting traders manage risk more carefully — or get flushed out faster — when sentiment is negative.</w:t>
      </w:r>
    </w:p>
    <w:p>
      <w:pPr>
        <w:pStyle w:val="Heading1"/>
        <w:spacing w:after="150" w:before="300"/>
      </w:pPr>
      <w:r>
        <w:t xml:space="preserve">5. Long vs. Short Positioning</w:t>
      </w:r>
    </w:p>
    <w:p>
      <w:pPr>
        <w:spacing w:after="200"/>
        <w:jc w:val="center"/>
      </w:pPr>
      <w:r>
        <w:drawing>
          <wp:inline distT="0" distB="0" distL="0" distR="0">
            <wp:extent cx="42862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2. Average PnL for long-closing vs. short-closing trades, by sentiment regime.</w:t>
      </w:r>
    </w:p>
    <w:p>
      <w:pPr>
        <w:spacing w:after="160"/>
      </w:pPr>
      <w:r>
        <w:rPr>
          <w:sz w:val="22"/>
          <w:szCs w:val="22"/>
        </w:rPr>
        <w:t xml:space="preserve">The clearest directional edge in the data: shorts closed during Fear average $186.52 in profit, more than double the $82.73 average for longs closed in the same regime. In Greed, the pattern flips — longs ($76.26 avg) modestly outperform shorts ($44.94 avg), though the gap is far smaller. This is consistent with classic contrarian behavior: the most profitable trades in this dataset are shorts placed as fear builds, and (to a lesser extent) longs held through greed.</w:t>
      </w:r>
    </w:p>
    <w:p>
      <w:pPr>
        <w:pStyle w:val="Heading1"/>
        <w:spacing w:after="150" w:before="300"/>
      </w:pPr>
      <w:r>
        <w:t xml:space="preserve">6. Trading Activity &amp; Position Sizing</w:t>
      </w:r>
    </w:p>
    <w:p>
      <w:pPr>
        <w:spacing w:after="200"/>
        <w:jc w:val="center"/>
      </w:pPr>
      <w:r>
        <w:drawing>
          <wp:inline distT="0" distB="0" distL="0" distR="0">
            <wp:extent cx="5238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3. Average position size and total realized-trade count by sentiment bucket.</w:t>
      </w:r>
    </w:p>
    <w:p>
      <w:pPr>
        <w:spacing w:after="160"/>
      </w:pPr>
      <w:r>
        <w:rPr>
          <w:sz w:val="22"/>
          <w:szCs w:val="22"/>
        </w:rPr>
        <w:t xml:space="preserve">Traders in this dataset are notably more active during Fear (40,214 realized trades) than Greed (46,029) is close in raw count, but per-day activity is higher in Fear — the correlation between the daily sentiment value and daily trade count is -0.25, meaning trade volume rises as sentiment falls toward fear. Average position size also swells to $7,375 in Fear vs. $4,234 in Greed, roughly 74% larger — traders lean in harder when sentiment sours.</w:t>
      </w:r>
    </w:p>
    <w:p>
      <w:pPr>
        <w:pStyle w:val="Heading1"/>
        <w:spacing w:after="150" w:before="300"/>
      </w:pPr>
      <w:r>
        <w:t xml:space="preserve">7. Cumulative PnL Over Time</w:t>
      </w:r>
    </w:p>
    <w:p>
      <w:pPr>
        <w:spacing w:after="20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4. Cumulative realized trader PnL (blue) plotted against the daily Fear &amp; Greed Index (orange).</w:t>
      </w:r>
    </w:p>
    <w:p>
      <w:pPr>
        <w:spacing w:after="160"/>
      </w:pPr>
      <w:r>
        <w:rPr>
          <w:sz w:val="22"/>
          <w:szCs w:val="22"/>
        </w:rPr>
        <w:t xml:space="preserve">Cumulative PnL grows fairly steadily across the sample with no single sentiment regime dominating the trend — day-level correlation between the sentiment index value and daily PnL is weak (-0.10), confirming that sentiment alone is not a strong standalone predictor of daily profitability. Its value lies in the risk and positioning patterns uncovered above, not in timing the sentiment index directly.</w:t>
      </w:r>
    </w:p>
    <w:p>
      <w:pPr>
        <w:pStyle w:val="Heading1"/>
        <w:spacing w:after="150" w:before="300"/>
      </w:pPr>
      <w:r>
        <w:t xml:space="preserve">8. Asset-Level Winners &amp; Losers</w:t>
      </w:r>
    </w:p>
    <w:p>
      <w:pPr>
        <w:spacing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5. Coins with the largest aggregate realized PnL (green) and losses (red) across all traders.</w:t>
      </w:r>
    </w:p>
    <w:p>
      <w:pPr>
        <w:spacing w:after="160"/>
      </w:pPr>
      <w:r>
        <w:rPr>
          <w:sz w:val="22"/>
          <w:szCs w:val="22"/>
        </w:rPr>
        <w:t xml:space="preserve">PnL is heavily concentrated: a small number of tokens (an obfuscated symbol '@107', HYPE, SOL, ETH, BTC) account for the bulk of aggregate profit, while a few high-volatility/meme-adjacent tokens — TRUMP and FARTCOIN in particular — are responsible for the largest aggregate losses in the dataset, a reminder that coin selection matters as much as sentiment timing.</w:t>
      </w:r>
    </w:p>
    <w:p>
      <w:pPr>
        <w:pStyle w:val="Heading1"/>
        <w:spacing w:after="150" w:before="300"/>
      </w:pPr>
      <w:r>
        <w:t xml:space="preserve">9. Strategic Implications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Favor contrarian shorts in Fear regimes. The short-side edge during Fear is the single strongest, most consistent signal in this dataset.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Size positions conservatively during Greed. Even though average PnL is comparable to Fear, the risk of outsized losses (including liquidation-scale drawdowns) is far higher — position sizing and stop-losses matter more when sentiment is euphoric.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Don't rely on the sentiment index alone as a timing signal — its correlation with daily PnL is weak. It is more useful as a risk-regime indicator (how much variance to expect) than a directional predictor.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Concentrate risk management on a small set of high-volatility/meme tokens (e.g., TRUMP, FARTCOIN), which drove disproportionate losses regardless of sentiment.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Investigate top-performing accounts (e.g., win rates above 90% with thousands of trades) as potential sources of strategy patterns worth emulating or studying further.</w:t>
      </w:r>
    </w:p>
    <w:p>
      <w:pPr>
        <w:pStyle w:val="Heading1"/>
        <w:spacing w:after="150" w:before="300"/>
      </w:pPr>
      <w:r>
        <w:t xml:space="preserve">10. Limitations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dataset does not include an explicit leverage or account-equity field, so true leverage/margin-utilization could not be computed directly; position size (USD notional) was used as a proxy for risk appetite.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Sentiment is a single daily value applied market-wide; it does not capture intraday sentiment shifts or coin-specific sentiment.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trader sample (32 accounts) may not be representative of the broader Hyperliquid user base, and results should not be read as generalizable trading advice.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879d6f3a545a5d63119c1ea6efe4b945048309.png"/><Relationship Id="rId8" Type="http://schemas.openxmlformats.org/officeDocument/2006/relationships/image" Target="media/94c134c0d17addbf7cc88cde174692ddc0a5b0e7.png"/><Relationship Id="rId9" Type="http://schemas.openxmlformats.org/officeDocument/2006/relationships/image" Target="media/4f93482ac55b3e54560f28abe4bbf4fa93271474.png"/><Relationship Id="rId10" Type="http://schemas.openxmlformats.org/officeDocument/2006/relationships/image" Target="media/58834a0efcfe3b49397e7472d4a0238a4b491bbe.png"/><Relationship Id="rId11" Type="http://schemas.openxmlformats.org/officeDocument/2006/relationships/image" Target="media/e76d23b57f499220095037987dbf016f9bbbe48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2026-07-15T07:06:28.335Z</dcterms:created>
  <dcterms:modified xsi:type="dcterms:W3CDTF">2026-07-15T07:06:28.343Z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