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53F1" w14:textId="5B75ED9F" w:rsidR="00C90BE6" w:rsidRDefault="00000000">
      <w:pPr>
        <w:pStyle w:val="Heading1"/>
      </w:pPr>
      <w:r>
        <w:t>Predictive Model Plan – Geldium Delinquency Prediction</w:t>
      </w:r>
    </w:p>
    <w:p w14:paraId="35683445" w14:textId="77777777" w:rsidR="00C90BE6" w:rsidRDefault="00000000">
      <w:r>
        <w:t>Prepared using insights from the Exploratory Data Analysis (EDA) conducted on the provided customer dataset.</w:t>
      </w:r>
    </w:p>
    <w:p w14:paraId="79AA0E4F" w14:textId="77777777" w:rsidR="00C90BE6" w:rsidRDefault="00000000">
      <w:pPr>
        <w:pStyle w:val="Heading2"/>
      </w:pPr>
      <w:r>
        <w:t>1. Model Logic (Generated with GenAI)</w:t>
      </w:r>
    </w:p>
    <w:p w14:paraId="0BF3E556" w14:textId="77777777" w:rsidR="00C90BE6" w:rsidRDefault="00000000">
      <w:r>
        <w:t>Recommended Model: Logistic Regression</w:t>
      </w:r>
      <w:r>
        <w:br/>
      </w:r>
      <w:r>
        <w:br/>
        <w:t>Simple Model Option: Logistic Regression</w:t>
      </w:r>
      <w:r>
        <w:br/>
        <w:t>Advanced Model Option: XGBoost (Gradient Boosting)</w:t>
      </w:r>
      <w:r>
        <w:br/>
      </w:r>
      <w:r>
        <w:br/>
        <w:t>Recommendation: Logistic Regression is selected because it provides strong predictive performance while remaining transparent and easy to interpret, which is essential for financial institutions.</w:t>
      </w:r>
    </w:p>
    <w:p w14:paraId="26B1D8CE" w14:textId="77777777" w:rsidR="00C90BE6" w:rsidRDefault="00000000">
      <w:pPr>
        <w:pStyle w:val="Heading3"/>
      </w:pPr>
      <w:r>
        <w:t>How the Model Works</w:t>
      </w:r>
    </w:p>
    <w:p w14:paraId="0FD71208" w14:textId="77777777" w:rsidR="00C90BE6" w:rsidRDefault="00000000">
      <w:pPr>
        <w:pStyle w:val="ListNumber"/>
      </w:pPr>
      <w:r>
        <w:t>Load the customer dataset.</w:t>
      </w:r>
    </w:p>
    <w:p w14:paraId="48DB836A" w14:textId="77777777" w:rsidR="00C90BE6" w:rsidRDefault="00000000">
      <w:pPr>
        <w:pStyle w:val="ListNumber"/>
      </w:pPr>
      <w:r>
        <w:t>Validate data quality and handle missing values identified during EDA.</w:t>
      </w:r>
    </w:p>
    <w:p w14:paraId="284D506D" w14:textId="77777777" w:rsidR="00C90BE6" w:rsidRDefault="00000000">
      <w:pPr>
        <w:pStyle w:val="ListNumber"/>
      </w:pPr>
      <w:r>
        <w:t>Encode categorical variables (Employment Status, Card Type, Location).</w:t>
      </w:r>
    </w:p>
    <w:p w14:paraId="3913340C" w14:textId="77777777" w:rsidR="00C90BE6" w:rsidRDefault="00000000">
      <w:pPr>
        <w:pStyle w:val="ListNumber"/>
      </w:pPr>
      <w:r>
        <w:t>Select important predictors including Income, Credit Score, Credit Utilization, Missed Payments, Debt-to-Income Ratio and recent payment history (Month_1–Month_6).</w:t>
      </w:r>
    </w:p>
    <w:p w14:paraId="30C09105" w14:textId="77777777" w:rsidR="00C90BE6" w:rsidRDefault="00000000">
      <w:pPr>
        <w:pStyle w:val="ListNumber"/>
      </w:pPr>
      <w:r>
        <w:t>Split the data into training and testing sets (e.g., 80/20).</w:t>
      </w:r>
    </w:p>
    <w:p w14:paraId="66882C6E" w14:textId="77777777" w:rsidR="00C90BE6" w:rsidRDefault="00000000">
      <w:pPr>
        <w:pStyle w:val="ListNumber"/>
      </w:pPr>
      <w:r>
        <w:t>Train the Logistic Regression model.</w:t>
      </w:r>
    </w:p>
    <w:p w14:paraId="111D59F8" w14:textId="77777777" w:rsidR="00C90BE6" w:rsidRDefault="00000000">
      <w:pPr>
        <w:pStyle w:val="ListNumber"/>
      </w:pPr>
      <w:r>
        <w:t>Generate a probability score (0–1) representing the likelihood of delinquency.</w:t>
      </w:r>
    </w:p>
    <w:p w14:paraId="2E11490D" w14:textId="77777777" w:rsidR="00C90BE6" w:rsidRDefault="00000000">
      <w:pPr>
        <w:pStyle w:val="ListNumber"/>
      </w:pPr>
      <w:r>
        <w:t>Classify customers into Low, Medium and High Risk segments.</w:t>
      </w:r>
    </w:p>
    <w:p w14:paraId="682C35E9" w14:textId="77777777" w:rsidR="00C90BE6" w:rsidRDefault="00000000">
      <w:pPr>
        <w:pStyle w:val="ListNumber"/>
      </w:pPr>
      <w:r>
        <w:t>Evaluate performance and monitor fairness before deployment.</w:t>
      </w:r>
    </w:p>
    <w:p w14:paraId="031D22B6" w14:textId="77777777" w:rsidR="00C90BE6" w:rsidRDefault="00000000">
      <w:pPr>
        <w:pStyle w:val="Heading3"/>
      </w:pPr>
      <w:r>
        <w:t>Top 5 Input Features</w:t>
      </w:r>
    </w:p>
    <w:tbl>
      <w:tblPr>
        <w:tblStyle w:val="TableGrid"/>
        <w:tblW w:w="0" w:type="auto"/>
        <w:tblLook w:val="04A0" w:firstRow="1" w:lastRow="0" w:firstColumn="1" w:lastColumn="0" w:noHBand="0" w:noVBand="1"/>
      </w:tblPr>
      <w:tblGrid>
        <w:gridCol w:w="4320"/>
        <w:gridCol w:w="4320"/>
      </w:tblGrid>
      <w:tr w:rsidR="00C90BE6" w14:paraId="6D7D7D1A" w14:textId="77777777">
        <w:tc>
          <w:tcPr>
            <w:tcW w:w="4320" w:type="dxa"/>
          </w:tcPr>
          <w:p w14:paraId="0FC94549" w14:textId="77777777" w:rsidR="00C90BE6" w:rsidRDefault="00000000">
            <w:r>
              <w:t>Feature</w:t>
            </w:r>
          </w:p>
        </w:tc>
        <w:tc>
          <w:tcPr>
            <w:tcW w:w="4320" w:type="dxa"/>
          </w:tcPr>
          <w:p w14:paraId="3773B898" w14:textId="77777777" w:rsidR="00C90BE6" w:rsidRDefault="00000000">
            <w:r>
              <w:t>Contribution</w:t>
            </w:r>
          </w:p>
        </w:tc>
      </w:tr>
      <w:tr w:rsidR="00C90BE6" w14:paraId="2DAA3BD9" w14:textId="77777777">
        <w:tc>
          <w:tcPr>
            <w:tcW w:w="4320" w:type="dxa"/>
          </w:tcPr>
          <w:p w14:paraId="02353F24" w14:textId="77777777" w:rsidR="00C90BE6" w:rsidRDefault="00000000">
            <w:r>
              <w:t>Missed_Payments</w:t>
            </w:r>
          </w:p>
        </w:tc>
        <w:tc>
          <w:tcPr>
            <w:tcW w:w="4320" w:type="dxa"/>
          </w:tcPr>
          <w:p w14:paraId="4FC402BF" w14:textId="77777777" w:rsidR="00C90BE6" w:rsidRDefault="00000000">
            <w:r>
              <w:t>Past payment behaviour is the strongest indicator of future delinquency.</w:t>
            </w:r>
          </w:p>
        </w:tc>
      </w:tr>
      <w:tr w:rsidR="00C90BE6" w14:paraId="5D0C8F8F" w14:textId="77777777">
        <w:tc>
          <w:tcPr>
            <w:tcW w:w="4320" w:type="dxa"/>
          </w:tcPr>
          <w:p w14:paraId="76C6B1DF" w14:textId="77777777" w:rsidR="00C90BE6" w:rsidRDefault="00000000">
            <w:r>
              <w:t>Credit_Utilization</w:t>
            </w:r>
          </w:p>
        </w:tc>
        <w:tc>
          <w:tcPr>
            <w:tcW w:w="4320" w:type="dxa"/>
          </w:tcPr>
          <w:p w14:paraId="3FA2A123" w14:textId="77777777" w:rsidR="00C90BE6" w:rsidRDefault="00000000">
            <w:r>
              <w:t>Higher utilization suggests increased financial stress.</w:t>
            </w:r>
          </w:p>
        </w:tc>
      </w:tr>
      <w:tr w:rsidR="00C90BE6" w14:paraId="60740727" w14:textId="77777777">
        <w:tc>
          <w:tcPr>
            <w:tcW w:w="4320" w:type="dxa"/>
          </w:tcPr>
          <w:p w14:paraId="45EC449B" w14:textId="77777777" w:rsidR="00C90BE6" w:rsidRDefault="00000000">
            <w:r>
              <w:t>Debt_to_Income_Ratio</w:t>
            </w:r>
          </w:p>
        </w:tc>
        <w:tc>
          <w:tcPr>
            <w:tcW w:w="4320" w:type="dxa"/>
          </w:tcPr>
          <w:p w14:paraId="1410B81E" w14:textId="77777777" w:rsidR="00C90BE6" w:rsidRDefault="00000000">
            <w:r>
              <w:t>Measures ability to repay debt.</w:t>
            </w:r>
          </w:p>
        </w:tc>
      </w:tr>
      <w:tr w:rsidR="00C90BE6" w14:paraId="5FDAF6C1" w14:textId="77777777">
        <w:tc>
          <w:tcPr>
            <w:tcW w:w="4320" w:type="dxa"/>
          </w:tcPr>
          <w:p w14:paraId="5E433C1B" w14:textId="77777777" w:rsidR="00C90BE6" w:rsidRDefault="00000000">
            <w:r>
              <w:t>Credit_Score</w:t>
            </w:r>
          </w:p>
        </w:tc>
        <w:tc>
          <w:tcPr>
            <w:tcW w:w="4320" w:type="dxa"/>
          </w:tcPr>
          <w:p w14:paraId="5465C8F3" w14:textId="77777777" w:rsidR="00C90BE6" w:rsidRDefault="00000000">
            <w:r>
              <w:t>Lower scores indicate higher credit risk.</w:t>
            </w:r>
          </w:p>
        </w:tc>
      </w:tr>
      <w:tr w:rsidR="00C90BE6" w14:paraId="16F9C50F" w14:textId="77777777">
        <w:tc>
          <w:tcPr>
            <w:tcW w:w="4320" w:type="dxa"/>
          </w:tcPr>
          <w:p w14:paraId="6E393A34" w14:textId="77777777" w:rsidR="00C90BE6" w:rsidRDefault="00000000">
            <w:r>
              <w:t>Month_1–Month_6 Payment History</w:t>
            </w:r>
          </w:p>
        </w:tc>
        <w:tc>
          <w:tcPr>
            <w:tcW w:w="4320" w:type="dxa"/>
          </w:tcPr>
          <w:p w14:paraId="247AD2E8" w14:textId="77777777" w:rsidR="00C90BE6" w:rsidRDefault="00000000">
            <w:r>
              <w:t>Recent payment behaviour captures emerging repayment issues.</w:t>
            </w:r>
          </w:p>
        </w:tc>
      </w:tr>
    </w:tbl>
    <w:p w14:paraId="07097B76" w14:textId="77777777" w:rsidR="00C90BE6" w:rsidRDefault="00000000">
      <w:pPr>
        <w:pStyle w:val="Heading3"/>
      </w:pPr>
      <w:r>
        <w:t>Sample Pseudocode</w:t>
      </w:r>
    </w:p>
    <w:p w14:paraId="11D21B63" w14:textId="77777777" w:rsidR="00C90BE6" w:rsidRDefault="00000000">
      <w:r>
        <w:t>Load dataset</w:t>
      </w:r>
      <w:r>
        <w:br/>
        <w:t>Preprocess data (missing values, encoding)</w:t>
      </w:r>
      <w:r>
        <w:br/>
        <w:t>Select important features</w:t>
      </w:r>
      <w:r>
        <w:br/>
        <w:t>Split into train/test datasets</w:t>
      </w:r>
      <w:r>
        <w:br/>
        <w:t>Train Logistic Regression model</w:t>
      </w:r>
      <w:r>
        <w:br/>
      </w:r>
      <w:r>
        <w:lastRenderedPageBreak/>
        <w:t>Predict delinquency probability</w:t>
      </w:r>
      <w:r>
        <w:br/>
        <w:t>Classify risk level</w:t>
      </w:r>
      <w:r>
        <w:br/>
        <w:t>Evaluate Accuracy, Precision, Recall, F1 Score and AUC-ROC</w:t>
      </w:r>
    </w:p>
    <w:p w14:paraId="1E722588" w14:textId="77777777" w:rsidR="00815DD9" w:rsidRDefault="00815DD9">
      <w:pPr>
        <w:pStyle w:val="Heading2"/>
      </w:pPr>
    </w:p>
    <w:p w14:paraId="44715D50" w14:textId="73444E06" w:rsidR="00C90BE6" w:rsidRDefault="00000000">
      <w:pPr>
        <w:pStyle w:val="Heading2"/>
      </w:pPr>
      <w:r>
        <w:t>2. Justification for Model Choice</w:t>
      </w:r>
    </w:p>
    <w:p w14:paraId="4C159051" w14:textId="77777777" w:rsidR="00C90BE6" w:rsidRDefault="00000000">
      <w:r>
        <w:t>Logistic Regression is the preferred model because it offers an excellent balance between predictive accuracy and explainability. It is widely used in banking and credit-risk applications because analysts can clearly understand how each customer attribute influences the final prediction. Compared with more complex models such as XGBoost or neural networks, Logistic Regression is easier to validate, deploy, monitor and explain to regulators. This transparency supports Geldium's business objective of prioritising high-risk customers while maintaining regulatory compliance, fairness and stakeholder trust.</w:t>
      </w:r>
    </w:p>
    <w:p w14:paraId="0E732AF9" w14:textId="77777777" w:rsidR="00815DD9" w:rsidRDefault="00815DD9">
      <w:pPr>
        <w:pStyle w:val="Heading2"/>
      </w:pPr>
    </w:p>
    <w:p w14:paraId="724E4D7D" w14:textId="69376D90" w:rsidR="00C90BE6" w:rsidRDefault="00000000">
      <w:pPr>
        <w:pStyle w:val="Heading2"/>
      </w:pPr>
      <w:r>
        <w:t>3. Evaluation Strategy</w:t>
      </w:r>
    </w:p>
    <w:tbl>
      <w:tblPr>
        <w:tblStyle w:val="TableGrid"/>
        <w:tblW w:w="0" w:type="auto"/>
        <w:tblLook w:val="04A0" w:firstRow="1" w:lastRow="0" w:firstColumn="1" w:lastColumn="0" w:noHBand="0" w:noVBand="1"/>
      </w:tblPr>
      <w:tblGrid>
        <w:gridCol w:w="2880"/>
        <w:gridCol w:w="2880"/>
        <w:gridCol w:w="2880"/>
      </w:tblGrid>
      <w:tr w:rsidR="00C90BE6" w14:paraId="2000AF37" w14:textId="77777777">
        <w:tc>
          <w:tcPr>
            <w:tcW w:w="2880" w:type="dxa"/>
          </w:tcPr>
          <w:p w14:paraId="40FF9AFD" w14:textId="77777777" w:rsidR="00C90BE6" w:rsidRDefault="00000000">
            <w:r>
              <w:t>Metric</w:t>
            </w:r>
          </w:p>
        </w:tc>
        <w:tc>
          <w:tcPr>
            <w:tcW w:w="2880" w:type="dxa"/>
          </w:tcPr>
          <w:p w14:paraId="28E9A903" w14:textId="77777777" w:rsidR="00C90BE6" w:rsidRDefault="00000000">
            <w:r>
              <w:t>Purpose</w:t>
            </w:r>
          </w:p>
        </w:tc>
        <w:tc>
          <w:tcPr>
            <w:tcW w:w="2880" w:type="dxa"/>
          </w:tcPr>
          <w:p w14:paraId="2705AE69" w14:textId="77777777" w:rsidR="00C90BE6" w:rsidRDefault="00000000">
            <w:r>
              <w:t>Interpretation</w:t>
            </w:r>
          </w:p>
        </w:tc>
      </w:tr>
      <w:tr w:rsidR="00C90BE6" w14:paraId="3F4A2DBD" w14:textId="77777777">
        <w:tc>
          <w:tcPr>
            <w:tcW w:w="2880" w:type="dxa"/>
          </w:tcPr>
          <w:p w14:paraId="554E85E1" w14:textId="77777777" w:rsidR="00C90BE6" w:rsidRDefault="00000000">
            <w:r>
              <w:t>Accuracy</w:t>
            </w:r>
          </w:p>
        </w:tc>
        <w:tc>
          <w:tcPr>
            <w:tcW w:w="2880" w:type="dxa"/>
          </w:tcPr>
          <w:p w14:paraId="4072EBB8" w14:textId="77777777" w:rsidR="00C90BE6" w:rsidRDefault="00000000">
            <w:r>
              <w:t>Overall correctness</w:t>
            </w:r>
          </w:p>
        </w:tc>
        <w:tc>
          <w:tcPr>
            <w:tcW w:w="2880" w:type="dxa"/>
          </w:tcPr>
          <w:p w14:paraId="13C9C9AA" w14:textId="77777777" w:rsidR="00C90BE6" w:rsidRDefault="00000000">
            <w:r>
              <w:t>Higher values indicate better overall performance.</w:t>
            </w:r>
          </w:p>
        </w:tc>
      </w:tr>
      <w:tr w:rsidR="00C90BE6" w14:paraId="1DEAFB8B" w14:textId="77777777">
        <w:tc>
          <w:tcPr>
            <w:tcW w:w="2880" w:type="dxa"/>
          </w:tcPr>
          <w:p w14:paraId="1BC9813B" w14:textId="77777777" w:rsidR="00C90BE6" w:rsidRDefault="00000000">
            <w:r>
              <w:t>Precision</w:t>
            </w:r>
          </w:p>
        </w:tc>
        <w:tc>
          <w:tcPr>
            <w:tcW w:w="2880" w:type="dxa"/>
          </w:tcPr>
          <w:p w14:paraId="1C6F788C" w14:textId="77777777" w:rsidR="00C90BE6" w:rsidRDefault="00000000">
            <w:r>
              <w:t>Quality of positive predictions</w:t>
            </w:r>
          </w:p>
        </w:tc>
        <w:tc>
          <w:tcPr>
            <w:tcW w:w="2880" w:type="dxa"/>
          </w:tcPr>
          <w:p w14:paraId="7B704A9A" w14:textId="77777777" w:rsidR="00C90BE6" w:rsidRDefault="00000000">
            <w:r>
              <w:t>High precision reduces unnecessary customer outreach.</w:t>
            </w:r>
          </w:p>
        </w:tc>
      </w:tr>
      <w:tr w:rsidR="00C90BE6" w14:paraId="5E79707D" w14:textId="77777777">
        <w:tc>
          <w:tcPr>
            <w:tcW w:w="2880" w:type="dxa"/>
          </w:tcPr>
          <w:p w14:paraId="5AC0D83D" w14:textId="77777777" w:rsidR="00C90BE6" w:rsidRDefault="00000000">
            <w:r>
              <w:t>Recall</w:t>
            </w:r>
          </w:p>
        </w:tc>
        <w:tc>
          <w:tcPr>
            <w:tcW w:w="2880" w:type="dxa"/>
          </w:tcPr>
          <w:p w14:paraId="333486B6" w14:textId="77777777" w:rsidR="00C90BE6" w:rsidRDefault="00000000">
            <w:r>
              <w:t>Detection of actual delinquent customers</w:t>
            </w:r>
          </w:p>
        </w:tc>
        <w:tc>
          <w:tcPr>
            <w:tcW w:w="2880" w:type="dxa"/>
          </w:tcPr>
          <w:p w14:paraId="0120B2D6" w14:textId="77777777" w:rsidR="00C90BE6" w:rsidRDefault="00000000">
            <w:r>
              <w:t>High recall ensures risky customers are rarely missed.</w:t>
            </w:r>
          </w:p>
        </w:tc>
      </w:tr>
      <w:tr w:rsidR="00C90BE6" w14:paraId="38FE19D5" w14:textId="77777777">
        <w:tc>
          <w:tcPr>
            <w:tcW w:w="2880" w:type="dxa"/>
          </w:tcPr>
          <w:p w14:paraId="73DD66D1" w14:textId="77777777" w:rsidR="00C90BE6" w:rsidRDefault="00000000">
            <w:r>
              <w:t>F1 Score</w:t>
            </w:r>
          </w:p>
        </w:tc>
        <w:tc>
          <w:tcPr>
            <w:tcW w:w="2880" w:type="dxa"/>
          </w:tcPr>
          <w:p w14:paraId="0FBE4B73" w14:textId="77777777" w:rsidR="00C90BE6" w:rsidRDefault="00000000">
            <w:r>
              <w:t>Balances precision and recall</w:t>
            </w:r>
          </w:p>
        </w:tc>
        <w:tc>
          <w:tcPr>
            <w:tcW w:w="2880" w:type="dxa"/>
          </w:tcPr>
          <w:p w14:paraId="1261476F" w14:textId="77777777" w:rsidR="00C90BE6" w:rsidRDefault="00000000">
            <w:r>
              <w:t>Useful when class distribution is imbalanced.</w:t>
            </w:r>
          </w:p>
        </w:tc>
      </w:tr>
      <w:tr w:rsidR="00C90BE6" w14:paraId="36B153BF" w14:textId="77777777">
        <w:tc>
          <w:tcPr>
            <w:tcW w:w="2880" w:type="dxa"/>
          </w:tcPr>
          <w:p w14:paraId="0731D62D" w14:textId="77777777" w:rsidR="00C90BE6" w:rsidRDefault="00000000">
            <w:r>
              <w:t>AUC-ROC</w:t>
            </w:r>
          </w:p>
        </w:tc>
        <w:tc>
          <w:tcPr>
            <w:tcW w:w="2880" w:type="dxa"/>
          </w:tcPr>
          <w:p w14:paraId="1DF22F00" w14:textId="77777777" w:rsidR="00C90BE6" w:rsidRDefault="00000000">
            <w:r>
              <w:t>Measures class separation</w:t>
            </w:r>
          </w:p>
        </w:tc>
        <w:tc>
          <w:tcPr>
            <w:tcW w:w="2880" w:type="dxa"/>
          </w:tcPr>
          <w:p w14:paraId="6F01E4BF" w14:textId="77777777" w:rsidR="00C90BE6" w:rsidRDefault="00000000">
            <w:r>
              <w:t>Values closer to 1 indicate excellent discrimination.</w:t>
            </w:r>
          </w:p>
        </w:tc>
      </w:tr>
      <w:tr w:rsidR="00C90BE6" w14:paraId="18A8828F" w14:textId="77777777">
        <w:tc>
          <w:tcPr>
            <w:tcW w:w="2880" w:type="dxa"/>
          </w:tcPr>
          <w:p w14:paraId="4BE690A4" w14:textId="77777777" w:rsidR="00C90BE6" w:rsidRDefault="00000000">
            <w:r>
              <w:t>Confusion Matrix</w:t>
            </w:r>
          </w:p>
        </w:tc>
        <w:tc>
          <w:tcPr>
            <w:tcW w:w="2880" w:type="dxa"/>
          </w:tcPr>
          <w:p w14:paraId="6747BDA4" w14:textId="77777777" w:rsidR="00C90BE6" w:rsidRDefault="00000000">
            <w:r>
              <w:t>Detailed error analysis</w:t>
            </w:r>
          </w:p>
        </w:tc>
        <w:tc>
          <w:tcPr>
            <w:tcW w:w="2880" w:type="dxa"/>
          </w:tcPr>
          <w:p w14:paraId="46432328" w14:textId="77777777" w:rsidR="00C90BE6" w:rsidRDefault="00000000">
            <w:r>
              <w:t>Identifies false positives and false negatives.</w:t>
            </w:r>
          </w:p>
        </w:tc>
      </w:tr>
      <w:tr w:rsidR="00C90BE6" w14:paraId="2990B829" w14:textId="77777777">
        <w:tc>
          <w:tcPr>
            <w:tcW w:w="2880" w:type="dxa"/>
          </w:tcPr>
          <w:p w14:paraId="13A5774D" w14:textId="77777777" w:rsidR="00C90BE6" w:rsidRDefault="00000000">
            <w:r>
              <w:t>Fairness Checks</w:t>
            </w:r>
          </w:p>
        </w:tc>
        <w:tc>
          <w:tcPr>
            <w:tcW w:w="2880" w:type="dxa"/>
          </w:tcPr>
          <w:p w14:paraId="4DDE8629" w14:textId="77777777" w:rsidR="00C90BE6" w:rsidRDefault="00000000">
            <w:r>
              <w:t>Bias assessment</w:t>
            </w:r>
          </w:p>
        </w:tc>
        <w:tc>
          <w:tcPr>
            <w:tcW w:w="2880" w:type="dxa"/>
          </w:tcPr>
          <w:p w14:paraId="6CCDADC8" w14:textId="77777777" w:rsidR="00C90BE6" w:rsidRDefault="00000000">
            <w:r>
              <w:t>Compare metrics across customer groups to ensure equitable predictions.</w:t>
            </w:r>
          </w:p>
        </w:tc>
      </w:tr>
    </w:tbl>
    <w:p w14:paraId="2FF5C2F4" w14:textId="77777777" w:rsidR="00C90BE6" w:rsidRDefault="00000000">
      <w:pPr>
        <w:pStyle w:val="Heading3"/>
      </w:pPr>
      <w:r>
        <w:t>Bias Mitigation &amp; Ethical Considerations</w:t>
      </w:r>
    </w:p>
    <w:p w14:paraId="0244DE1D" w14:textId="77777777" w:rsidR="00C90BE6" w:rsidRDefault="00000000">
      <w:pPr>
        <w:pStyle w:val="ListBullet"/>
      </w:pPr>
      <w:r>
        <w:t>Monitor performance across demographic groups.</w:t>
      </w:r>
    </w:p>
    <w:p w14:paraId="2709BF5A" w14:textId="77777777" w:rsidR="00C90BE6" w:rsidRDefault="00000000">
      <w:pPr>
        <w:pStyle w:val="ListBullet"/>
      </w:pPr>
      <w:r>
        <w:t>Avoid using protected or sensitive attributes directly for prediction.</w:t>
      </w:r>
    </w:p>
    <w:p w14:paraId="3BFE97BF" w14:textId="77777777" w:rsidR="00C90BE6" w:rsidRDefault="00000000">
      <w:pPr>
        <w:pStyle w:val="ListBullet"/>
      </w:pPr>
      <w:r>
        <w:t>Review disparate impact and demographic parity metrics.</w:t>
      </w:r>
    </w:p>
    <w:p w14:paraId="31103FC6" w14:textId="77777777" w:rsidR="00C90BE6" w:rsidRDefault="00000000">
      <w:pPr>
        <w:pStyle w:val="ListBullet"/>
      </w:pPr>
      <w:r>
        <w:t>Retrain and recalibrate the model if unfair patterns are detected.</w:t>
      </w:r>
    </w:p>
    <w:p w14:paraId="576B4A0C" w14:textId="77777777" w:rsidR="00C90BE6" w:rsidRDefault="00000000">
      <w:pPr>
        <w:pStyle w:val="ListBullet"/>
      </w:pPr>
      <w:r>
        <w:t>Use predictions to support human decision-making rather than fully automate credit actions.</w:t>
      </w:r>
    </w:p>
    <w:p w14:paraId="020A8906" w14:textId="77777777" w:rsidR="00815DD9" w:rsidRDefault="00815DD9">
      <w:pPr>
        <w:rPr>
          <w:rFonts w:asciiTheme="majorHAnsi" w:eastAsiaTheme="majorEastAsia" w:hAnsiTheme="majorHAnsi" w:cstheme="majorBidi"/>
          <w:b/>
          <w:bCs/>
          <w:color w:val="4F81BD" w:themeColor="accent1"/>
          <w:sz w:val="26"/>
          <w:szCs w:val="26"/>
        </w:rPr>
      </w:pPr>
      <w:r>
        <w:br w:type="page"/>
      </w:r>
    </w:p>
    <w:p w14:paraId="4A049443" w14:textId="40E73C8B" w:rsidR="00C90BE6" w:rsidRDefault="00000000">
      <w:pPr>
        <w:pStyle w:val="Heading2"/>
      </w:pPr>
      <w:r>
        <w:lastRenderedPageBreak/>
        <w:t>Conclusion</w:t>
      </w:r>
    </w:p>
    <w:p w14:paraId="2CB8A961" w14:textId="77777777" w:rsidR="00C90BE6" w:rsidRDefault="00000000">
      <w:r>
        <w:t>The proposed Logistic Regression solution provides a practical, transparent and scalable approach for predicting customer delinquency. By combining robust preprocessing, carefully selected financial and behavioural features, and comprehensive evaluation metrics, Geldium can identify high-risk customers early and improve collection strategies while maintaining fairness and regulatory compliance.</w:t>
      </w:r>
    </w:p>
    <w:sectPr w:rsidR="00C90B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0498636">
    <w:abstractNumId w:val="8"/>
  </w:num>
  <w:num w:numId="2" w16cid:durableId="1790391153">
    <w:abstractNumId w:val="6"/>
  </w:num>
  <w:num w:numId="3" w16cid:durableId="863716399">
    <w:abstractNumId w:val="5"/>
  </w:num>
  <w:num w:numId="4" w16cid:durableId="1561818689">
    <w:abstractNumId w:val="4"/>
  </w:num>
  <w:num w:numId="5" w16cid:durableId="490218116">
    <w:abstractNumId w:val="7"/>
  </w:num>
  <w:num w:numId="6" w16cid:durableId="1195190939">
    <w:abstractNumId w:val="3"/>
  </w:num>
  <w:num w:numId="7" w16cid:durableId="688724399">
    <w:abstractNumId w:val="2"/>
  </w:num>
  <w:num w:numId="8" w16cid:durableId="1298611088">
    <w:abstractNumId w:val="1"/>
  </w:num>
  <w:num w:numId="9" w16cid:durableId="188840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6F9A"/>
    <w:rsid w:val="00326F90"/>
    <w:rsid w:val="00815DD9"/>
    <w:rsid w:val="00AA1D8D"/>
    <w:rsid w:val="00B47730"/>
    <w:rsid w:val="00C90BE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D9428"/>
  <w14:defaultImageDpi w14:val="300"/>
  <w15:docId w15:val="{F6E87F44-ACE2-47F2-90DC-686F1487A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 shinde</cp:lastModifiedBy>
  <cp:revision>2</cp:revision>
  <dcterms:created xsi:type="dcterms:W3CDTF">2013-12-23T23:15:00Z</dcterms:created>
  <dcterms:modified xsi:type="dcterms:W3CDTF">2026-07-31T04:54:00Z</dcterms:modified>
  <cp:category/>
</cp:coreProperties>
</file>