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27ACC" w14:textId="77777777" w:rsidR="000806FF" w:rsidRDefault="00000000">
      <w:pPr>
        <w:pStyle w:val="Heading1"/>
      </w:pPr>
      <w:r>
        <w:t>Business Summary Report: Predictive Insights for Collections Strategy</w:t>
      </w:r>
    </w:p>
    <w:p w14:paraId="186DC4EB" w14:textId="77777777" w:rsidR="000806FF" w:rsidRDefault="00000000">
      <w:pPr>
        <w:pStyle w:val="Heading2"/>
      </w:pPr>
      <w:r>
        <w:t>1. Summary of Predictive Insights</w:t>
      </w:r>
    </w:p>
    <w:p w14:paraId="462838EC" w14:textId="77777777" w:rsidR="000806FF" w:rsidRDefault="00000000">
      <w:r>
        <w:t>Key findings from the exploratory analysis and conceptual predictive model are summarized below:</w:t>
      </w:r>
    </w:p>
    <w:p w14:paraId="101C8F80" w14:textId="77777777" w:rsidR="000806FF" w:rsidRDefault="00000000">
      <w:pPr>
        <w:pStyle w:val="ListBullet"/>
      </w:pPr>
      <w:r>
        <w:t>Customers with multiple missed payments and repeated late payments over the last six months are the highest-risk segment for future delinquency.</w:t>
      </w:r>
    </w:p>
    <w:p w14:paraId="32B9EC34" w14:textId="77777777" w:rsidR="000806FF" w:rsidRDefault="00000000">
      <w:pPr>
        <w:pStyle w:val="ListBullet"/>
      </w:pPr>
      <w:r>
        <w:t>High credit utilization and high debt-to-income ratio significantly increase the likelihood of missed repayments, especially when combined with lower credit scores.</w:t>
      </w:r>
    </w:p>
    <w:p w14:paraId="21A76467" w14:textId="77777777" w:rsidR="000806FF" w:rsidRDefault="00000000">
      <w:pPr>
        <w:pStyle w:val="ListBullet"/>
      </w:pPr>
      <w:r>
        <w:t>Customers showing multiple financial stress indicators should be prioritized for proactive outreach and early intervention by the Collections team.</w:t>
      </w:r>
    </w:p>
    <w:tbl>
      <w:tblPr>
        <w:tblStyle w:val="TableGrid"/>
        <w:tblW w:w="9104" w:type="dxa"/>
        <w:tblLook w:val="04A0" w:firstRow="1" w:lastRow="0" w:firstColumn="1" w:lastColumn="0" w:noHBand="0" w:noVBand="1"/>
      </w:tblPr>
      <w:tblGrid>
        <w:gridCol w:w="2276"/>
        <w:gridCol w:w="2276"/>
        <w:gridCol w:w="2276"/>
        <w:gridCol w:w="2276"/>
      </w:tblGrid>
      <w:tr w:rsidR="000806FF" w14:paraId="0606A48C" w14:textId="77777777" w:rsidTr="006F0EB2">
        <w:trPr>
          <w:trHeight w:val="668"/>
        </w:trPr>
        <w:tc>
          <w:tcPr>
            <w:tcW w:w="2276" w:type="dxa"/>
            <w:vAlign w:val="center"/>
          </w:tcPr>
          <w:p w14:paraId="2DC39145" w14:textId="77777777" w:rsidR="000806FF" w:rsidRDefault="00000000" w:rsidP="006F0EB2">
            <w:pPr>
              <w:jc w:val="center"/>
            </w:pPr>
            <w:r>
              <w:t>Key Insight</w:t>
            </w:r>
          </w:p>
        </w:tc>
        <w:tc>
          <w:tcPr>
            <w:tcW w:w="2276" w:type="dxa"/>
            <w:vAlign w:val="center"/>
          </w:tcPr>
          <w:p w14:paraId="42A8D357" w14:textId="77777777" w:rsidR="000806FF" w:rsidRDefault="00000000" w:rsidP="006F0EB2">
            <w:pPr>
              <w:jc w:val="center"/>
            </w:pPr>
            <w:r>
              <w:t>Customer Segment</w:t>
            </w:r>
          </w:p>
        </w:tc>
        <w:tc>
          <w:tcPr>
            <w:tcW w:w="2276" w:type="dxa"/>
            <w:vAlign w:val="center"/>
          </w:tcPr>
          <w:p w14:paraId="61C09130" w14:textId="77777777" w:rsidR="000806FF" w:rsidRDefault="00000000" w:rsidP="006F0EB2">
            <w:pPr>
              <w:jc w:val="center"/>
            </w:pPr>
            <w:r>
              <w:t>Influencing Variables</w:t>
            </w:r>
          </w:p>
        </w:tc>
        <w:tc>
          <w:tcPr>
            <w:tcW w:w="2276" w:type="dxa"/>
            <w:vAlign w:val="center"/>
          </w:tcPr>
          <w:p w14:paraId="338EBD73" w14:textId="77777777" w:rsidR="000806FF" w:rsidRDefault="00000000" w:rsidP="006F0EB2">
            <w:pPr>
              <w:jc w:val="center"/>
            </w:pPr>
            <w:r>
              <w:t>Potential Impact</w:t>
            </w:r>
          </w:p>
        </w:tc>
      </w:tr>
      <w:tr w:rsidR="000806FF" w14:paraId="27F781D7" w14:textId="77777777" w:rsidTr="006F0EB2">
        <w:trPr>
          <w:trHeight w:val="1663"/>
        </w:trPr>
        <w:tc>
          <w:tcPr>
            <w:tcW w:w="2276" w:type="dxa"/>
            <w:vAlign w:val="center"/>
          </w:tcPr>
          <w:p w14:paraId="47E33213" w14:textId="77777777" w:rsidR="000806FF" w:rsidRDefault="00000000" w:rsidP="006F0EB2">
            <w:pPr>
              <w:jc w:val="center"/>
            </w:pPr>
            <w:r>
              <w:t>High probability of delinquency</w:t>
            </w:r>
          </w:p>
        </w:tc>
        <w:tc>
          <w:tcPr>
            <w:tcW w:w="2276" w:type="dxa"/>
            <w:vAlign w:val="center"/>
          </w:tcPr>
          <w:p w14:paraId="7204EAFA" w14:textId="77777777" w:rsidR="000806FF" w:rsidRDefault="00000000" w:rsidP="006F0EB2">
            <w:pPr>
              <w:jc w:val="center"/>
            </w:pPr>
            <w:r>
              <w:t>Customers with repeated late/missed payments</w:t>
            </w:r>
          </w:p>
        </w:tc>
        <w:tc>
          <w:tcPr>
            <w:tcW w:w="2276" w:type="dxa"/>
            <w:vAlign w:val="center"/>
          </w:tcPr>
          <w:p w14:paraId="41B75E20" w14:textId="77777777" w:rsidR="000806FF" w:rsidRDefault="00000000" w:rsidP="006F0EB2">
            <w:pPr>
              <w:jc w:val="center"/>
            </w:pPr>
            <w:r>
              <w:t>Missed Payments, Payment History, Credit Utilization, Credit Score, DTI Ratio</w:t>
            </w:r>
          </w:p>
        </w:tc>
        <w:tc>
          <w:tcPr>
            <w:tcW w:w="2276" w:type="dxa"/>
            <w:vAlign w:val="center"/>
          </w:tcPr>
          <w:p w14:paraId="32A2BB48" w14:textId="77777777" w:rsidR="000806FF" w:rsidRDefault="00000000" w:rsidP="006F0EB2">
            <w:pPr>
              <w:jc w:val="center"/>
            </w:pPr>
            <w:r>
              <w:t>Prioritize outreach and reduce future defaults</w:t>
            </w:r>
          </w:p>
        </w:tc>
      </w:tr>
    </w:tbl>
    <w:p w14:paraId="5D3CCFEC" w14:textId="77777777" w:rsidR="000806FF" w:rsidRDefault="00000000">
      <w:pPr>
        <w:pStyle w:val="Heading2"/>
      </w:pPr>
      <w:r>
        <w:t>2. Recommendation Framework</w:t>
      </w:r>
    </w:p>
    <w:p w14:paraId="01018122" w14:textId="77777777" w:rsidR="000806FF" w:rsidRDefault="00000000">
      <w:r>
        <w:t>Restated Insight:</w:t>
      </w:r>
      <w:r>
        <w:br/>
        <w:t>Customers with high credit utilization and repeated missed payments have the highest likelihood of becoming delinquent.</w:t>
      </w:r>
    </w:p>
    <w:p w14:paraId="31C39426" w14:textId="77777777" w:rsidR="000806FF" w:rsidRDefault="00000000">
      <w:r>
        <w:t>Proposed Recommendation (SMART):</w:t>
      </w:r>
    </w:p>
    <w:p w14:paraId="37174262" w14:textId="77777777" w:rsidR="000806FF" w:rsidRDefault="00000000">
      <w:pPr>
        <w:pStyle w:val="ListBullet"/>
      </w:pPr>
      <w:r>
        <w:rPr>
          <w:b/>
        </w:rPr>
        <w:t xml:space="preserve">Specific: </w:t>
      </w:r>
      <w:r>
        <w:t>Identify customers with credit utilization above 80% and two or more missed payments, then enroll them in an early-intervention program.</w:t>
      </w:r>
    </w:p>
    <w:p w14:paraId="125A8102" w14:textId="77777777" w:rsidR="000806FF" w:rsidRDefault="00000000">
      <w:pPr>
        <w:pStyle w:val="ListBullet"/>
      </w:pPr>
      <w:r>
        <w:rPr>
          <w:b/>
        </w:rPr>
        <w:t xml:space="preserve">Measurable: </w:t>
      </w:r>
      <w:r>
        <w:t>Reduce the delinquency rate within this customer segment by 15% over the next six months.</w:t>
      </w:r>
    </w:p>
    <w:p w14:paraId="3513EBF7" w14:textId="77777777" w:rsidR="000806FF" w:rsidRDefault="00000000">
      <w:pPr>
        <w:pStyle w:val="ListBullet"/>
      </w:pPr>
      <w:r>
        <w:rPr>
          <w:b/>
        </w:rPr>
        <w:t xml:space="preserve">Actionable: </w:t>
      </w:r>
      <w:r>
        <w:t>Send personalized payment reminders, offer repayment plans, and prioritize these customers for collections outreach.</w:t>
      </w:r>
    </w:p>
    <w:p w14:paraId="58502C16" w14:textId="77777777" w:rsidR="000806FF" w:rsidRDefault="00000000">
      <w:pPr>
        <w:pStyle w:val="ListBullet"/>
      </w:pPr>
      <w:r>
        <w:rPr>
          <w:b/>
        </w:rPr>
        <w:t xml:space="preserve">Relevant: </w:t>
      </w:r>
      <w:r>
        <w:t>Supports Geldium's objective of reducing delinquency while improving customer engagement.</w:t>
      </w:r>
    </w:p>
    <w:p w14:paraId="16B81B2A" w14:textId="77777777" w:rsidR="000806FF" w:rsidRDefault="00000000">
      <w:pPr>
        <w:pStyle w:val="ListBullet"/>
      </w:pPr>
      <w:r>
        <w:rPr>
          <w:b/>
        </w:rPr>
        <w:t xml:space="preserve">Time-bound: </w:t>
      </w:r>
      <w:r>
        <w:t>Implement the program within one month and review performance monthly for six months.</w:t>
      </w:r>
    </w:p>
    <w:p w14:paraId="2FF6E590" w14:textId="77777777" w:rsidR="000806FF" w:rsidRDefault="00000000">
      <w:r>
        <w:t>Justification and Business Rationale:</w:t>
      </w:r>
      <w:r>
        <w:br/>
        <w:t xml:space="preserve">Early identification of high-risk customers enables the collections team to intervene before accounts become seriously delinquent. Targeted outreach improves recovery rates, reduces </w:t>
      </w:r>
      <w:r>
        <w:lastRenderedPageBreak/>
        <w:t>operational costs, and enhances the customer experience by providing support before financial situations worsen.</w:t>
      </w:r>
    </w:p>
    <w:p w14:paraId="2DD18DD8" w14:textId="77777777" w:rsidR="000806FF" w:rsidRDefault="00000000">
      <w:pPr>
        <w:pStyle w:val="Heading2"/>
      </w:pPr>
      <w:r>
        <w:t>3. Ethical and Responsible AI Considerations</w:t>
      </w:r>
    </w:p>
    <w:p w14:paraId="5B3B6AB6" w14:textId="77777777" w:rsidR="000806FF" w:rsidRDefault="00000000">
      <w:pPr>
        <w:pStyle w:val="ListBullet"/>
      </w:pPr>
      <w:r>
        <w:t>Fairness Risk: Historical data may unintentionally disadvantage certain customer groups. Mitigation: Regularly evaluate fairness metrics across demographic groups and retrain the model if disparities are detected.</w:t>
      </w:r>
    </w:p>
    <w:p w14:paraId="1179C0C1" w14:textId="77777777" w:rsidR="000806FF" w:rsidRDefault="00000000">
      <w:pPr>
        <w:pStyle w:val="ListBullet"/>
      </w:pPr>
      <w:r>
        <w:t>Fairness Risk: Incomplete or inaccurate customer information may lead to incorrect risk predictions. Mitigation: Maintain high data quality standards and validate critical financial variables before scoring.</w:t>
      </w:r>
    </w:p>
    <w:p w14:paraId="06E47087" w14:textId="77777777" w:rsidR="000806FF" w:rsidRDefault="00000000">
      <w:pPr>
        <w:pStyle w:val="ListBullet"/>
      </w:pPr>
      <w:r>
        <w:t>Explainability: Use Logistic Regression so analysts can clearly explain which factors (e.g., missed payments, credit utilization, debt-to-income ratio) contributed to each prediction.</w:t>
      </w:r>
    </w:p>
    <w:p w14:paraId="04BD984E" w14:textId="77777777" w:rsidR="000806FF" w:rsidRDefault="00000000">
      <w:pPr>
        <w:pStyle w:val="ListBullet"/>
      </w:pPr>
      <w:r>
        <w:t>Responsible AI: AI predictions should support—not replace—human decision-making. Final collection actions should always include human review, while protecting customer privacy and complying with financial regulations.</w:t>
      </w:r>
    </w:p>
    <w:sectPr w:rsidR="000806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075180">
    <w:abstractNumId w:val="8"/>
  </w:num>
  <w:num w:numId="2" w16cid:durableId="316229233">
    <w:abstractNumId w:val="6"/>
  </w:num>
  <w:num w:numId="3" w16cid:durableId="1940327322">
    <w:abstractNumId w:val="5"/>
  </w:num>
  <w:num w:numId="4" w16cid:durableId="1870801302">
    <w:abstractNumId w:val="4"/>
  </w:num>
  <w:num w:numId="5" w16cid:durableId="1226141311">
    <w:abstractNumId w:val="7"/>
  </w:num>
  <w:num w:numId="6" w16cid:durableId="1367674620">
    <w:abstractNumId w:val="3"/>
  </w:num>
  <w:num w:numId="7" w16cid:durableId="69356575">
    <w:abstractNumId w:val="2"/>
  </w:num>
  <w:num w:numId="8" w16cid:durableId="200018072">
    <w:abstractNumId w:val="1"/>
  </w:num>
  <w:num w:numId="9" w16cid:durableId="255291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6FF"/>
    <w:rsid w:val="0015074B"/>
    <w:rsid w:val="0029639D"/>
    <w:rsid w:val="00326F90"/>
    <w:rsid w:val="006F0EB2"/>
    <w:rsid w:val="00AA1D8D"/>
    <w:rsid w:val="00B47730"/>
    <w:rsid w:val="00CB0664"/>
    <w:rsid w:val="00F94A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A2865"/>
  <w14:defaultImageDpi w14:val="300"/>
  <w15:docId w15:val="{65B4107F-57CE-4928-ACFE-4810F231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shinde</cp:lastModifiedBy>
  <cp:revision>2</cp:revision>
  <dcterms:created xsi:type="dcterms:W3CDTF">2013-12-23T23:15:00Z</dcterms:created>
  <dcterms:modified xsi:type="dcterms:W3CDTF">2026-07-31T05:00:00Z</dcterms:modified>
  <cp:category/>
</cp:coreProperties>
</file>