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before="0" w:line="24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DATA 298A MSDA Project I</w:t>
      </w:r>
    </w:p>
    <w:p w:rsidR="00000000" w:rsidDel="00000000" w:rsidP="00000000" w:rsidRDefault="00000000" w:rsidRPr="00000000" w14:paraId="00000002">
      <w:pPr>
        <w:spacing w:after="20" w:before="0" w:line="24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Workbook 2</w:t>
      </w:r>
    </w:p>
    <w:p w:rsidR="00000000" w:rsidDel="00000000" w:rsidP="00000000" w:rsidRDefault="00000000" w:rsidRPr="00000000" w14:paraId="00000003">
      <w:pPr>
        <w:spacing w:after="20" w:before="0" w:line="24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before="0" w:line="24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Team 7</w:t>
      </w:r>
    </w:p>
    <w:p w:rsidR="00000000" w:rsidDel="00000000" w:rsidP="00000000" w:rsidRDefault="00000000" w:rsidRPr="00000000" w14:paraId="00000005">
      <w:pPr>
        <w:spacing w:after="20" w:before="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Aayushi Shah, Amaan Khan, Dhruva Joshi, Rohit Dhole, Sneha Guruvannavar</w:t>
      </w:r>
    </w:p>
    <w:p w:rsidR="00000000" w:rsidDel="00000000" w:rsidP="00000000" w:rsidRDefault="00000000" w:rsidRPr="00000000" w14:paraId="00000006">
      <w:pPr>
        <w:spacing w:after="20" w:before="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0" w:line="24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11-05-2025</w:t>
      </w:r>
    </w:p>
    <w:p w:rsidR="00000000" w:rsidDel="00000000" w:rsidP="00000000" w:rsidRDefault="00000000" w:rsidRPr="00000000" w14:paraId="00000008">
      <w:pPr>
        <w:spacing w:after="20" w:before="0" w:line="24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20" w:before="0"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ldqbe7wcso37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 Data Engineering</w:t>
      </w:r>
    </w:p>
    <w:p w:rsidR="00000000" w:rsidDel="00000000" w:rsidP="00000000" w:rsidRDefault="00000000" w:rsidRPr="00000000" w14:paraId="0000000A">
      <w:pPr>
        <w:spacing w:after="2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3.1 Data Process</w:t>
      </w:r>
    </w:p>
    <w:p w:rsidR="00000000" w:rsidDel="00000000" w:rsidP="00000000" w:rsidRDefault="00000000" w:rsidRPr="00000000" w14:paraId="0000000C">
      <w:pPr>
        <w:spacing w:after="20" w:before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End-to-end ETL converts raw biomedical sources into Delta-versioned, ML-ready data.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ETL Workflow Overview</w:t>
      </w:r>
    </w:p>
    <w:tbl>
      <w:tblPr>
        <w:tblStyle w:val="Table1"/>
        <w:tblW w:w="8655.0" w:type="dxa"/>
        <w:jc w:val="left"/>
        <w:tblLayout w:type="fixed"/>
        <w:tblLook w:val="0600"/>
      </w:tblPr>
      <w:tblGrid>
        <w:gridCol w:w="2145"/>
        <w:gridCol w:w="3915"/>
        <w:gridCol w:w="2595"/>
        <w:tblGridChange w:id="0">
          <w:tblGrid>
            <w:gridCol w:w="2145"/>
            <w:gridCol w:w="3915"/>
            <w:gridCol w:w="2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Ingestion </w:t>
            </w:r>
          </w:p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(Raw → Bronze)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Parsed DrugBank XML via PySpark streaming; imported FDA DailyMed JSON labels; loaded Kaggle DDI CSV datasets.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PySpark, requests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Cleaning 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(Bronze → Silver)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Deduplicated drugs/interactions; normalized text &amp; units; removed nulls &amp; inconsistencies; generated dq_report.md.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pandas, DuckDB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Transformation (Silver → Gold)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Feature-engineered numeric and text fields; tokenized and augmented descriptions; exported Delta/Parquet.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PySpark, Delta Lake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Split data 70 / 15 / 15 (train / val / test) stratified by indication.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Python script prepare_splits.py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Versioning &amp;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Lineage tracked via Delta logs and DVC; metrics logged to MLflow.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DVC, MLflow</w:t>
            </w:r>
          </w:p>
        </w:tc>
      </w:tr>
    </w:tbl>
    <w:p w:rsidR="00000000" w:rsidDel="00000000" w:rsidP="00000000" w:rsidRDefault="00000000" w:rsidRPr="00000000" w14:paraId="00000023">
      <w:pPr>
        <w:spacing w:after="2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3.2 Data Collection</w:t>
      </w:r>
    </w:p>
    <w:p w:rsidR="00000000" w:rsidDel="00000000" w:rsidP="00000000" w:rsidRDefault="00000000" w:rsidRPr="00000000" w14:paraId="00000025">
      <w:pPr>
        <w:spacing w:after="2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Layout w:type="fixed"/>
        <w:tblLook w:val="0600"/>
      </w:tblPr>
      <w:tblGrid>
        <w:gridCol w:w="1980"/>
        <w:gridCol w:w="2940"/>
        <w:gridCol w:w="1905"/>
        <w:gridCol w:w="1815"/>
        <w:tblGridChange w:id="0">
          <w:tblGrid>
            <w:gridCol w:w="1980"/>
            <w:gridCol w:w="2940"/>
            <w:gridCol w:w="1905"/>
            <w:gridCol w:w="1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Approx.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DrugBank (XML)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 k drugs / 250 k interactions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Core entity graph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Core source for all ingestion, cleaning, and ML dataset construction</w:t>
            </w:r>
          </w:p>
        </w:tc>
      </w:tr>
    </w:tbl>
    <w:p w:rsidR="00000000" w:rsidDel="00000000" w:rsidP="00000000" w:rsidRDefault="00000000" w:rsidRPr="00000000" w14:paraId="0000002E">
      <w:pPr>
        <w:spacing w:after="40" w:before="2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2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20" w:line="24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Real-time Ingestion (Kafka Integration)</w:t>
      </w:r>
    </w:p>
    <w:p w:rsidR="00000000" w:rsidDel="00000000" w:rsidP="00000000" w:rsidRDefault="00000000" w:rsidRPr="00000000" w14:paraId="00000031">
      <w:pPr>
        <w:spacing w:after="40" w:before="2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extend the ETL pipeline beyond batch processing, a Kafka producer-consumer pipeline was configured for continuous DrugBank data ingestion.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Producer: Simulates live drug updates (dummy data stream of new drug_id, drug_name, avg_mass, and timestamps).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Consumer: PySpark Structured Streaming job connected to the Kafka topic drug_updates, performing schema enforcement and incremental Delta writes to the Bronze layer.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Storage: Streams write into /bronze/streamed Delta table with version tracking and watermarking for late data.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40" w:before="0" w:beforeAutospacing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Monitoring: Stream status is logged every micro-batch (structured streaming progress events).</w:t>
      </w:r>
    </w:p>
    <w:p w:rsidR="00000000" w:rsidDel="00000000" w:rsidP="00000000" w:rsidRDefault="00000000" w:rsidRPr="00000000" w14:paraId="00000036">
      <w:pPr>
        <w:spacing w:after="40" w:before="2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pipeline demonstrates scalability for future real-time DrugBank updates or integration with live clinical feeds while maintaining schema consistency and audit trails.</w:t>
      </w:r>
    </w:p>
    <w:p w:rsidR="00000000" w:rsidDel="00000000" w:rsidP="00000000" w:rsidRDefault="00000000" w:rsidRPr="00000000" w14:paraId="00000037">
      <w:pPr>
        <w:spacing w:after="40" w:before="2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2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</w:rPr>
        <w:drawing>
          <wp:inline distB="114300" distT="114300" distL="114300" distR="114300">
            <wp:extent cx="5486400" cy="74549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5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20" w:line="240" w:lineRule="auto"/>
        <w:jc w:val="center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Folder structure</w:t>
      </w:r>
    </w:p>
    <w:p w:rsidR="00000000" w:rsidDel="00000000" w:rsidP="00000000" w:rsidRDefault="00000000" w:rsidRPr="00000000" w14:paraId="0000003A">
      <w:pPr>
        <w:spacing w:after="40" w:before="2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</w:rPr>
        <w:drawing>
          <wp:inline distB="114300" distT="114300" distL="114300" distR="114300">
            <wp:extent cx="5486400" cy="3340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20" w:line="240" w:lineRule="auto"/>
        <w:jc w:val="center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Raw Drugbank data</w:t>
      </w:r>
    </w:p>
    <w:p w:rsidR="00000000" w:rsidDel="00000000" w:rsidP="00000000" w:rsidRDefault="00000000" w:rsidRPr="00000000" w14:paraId="0000003C">
      <w:pPr>
        <w:spacing w:after="20" w:before="20" w:line="240" w:lineRule="auto"/>
        <w:jc w:val="center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" w:line="24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3.3 Data Pre-processing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Pre-processing and validation were implemented using PySpark and DuckDB to ensure schema and data consistency.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Steps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Removed duplicate or null </w:t>
      </w:r>
      <w:r w:rsidDel="00000000" w:rsidR="00000000" w:rsidRPr="00000000">
        <w:rPr>
          <w:rFonts w:ascii="Arial" w:cs="Arial" w:eastAsia="Arial" w:hAnsi="Arial"/>
          <w:rtl w:val="0"/>
        </w:rPr>
        <w:t xml:space="preserve">drug_id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rtl w:val="0"/>
        </w:rPr>
        <w:t xml:space="preserve">drug_name</w:t>
      </w:r>
      <w:r w:rsidDel="00000000" w:rsidR="00000000" w:rsidRPr="00000000">
        <w:rPr>
          <w:rFonts w:ascii="Arial" w:cs="Arial" w:eastAsia="Arial" w:hAnsi="Arial"/>
          <w:rtl w:val="0"/>
        </w:rPr>
        <w:t xml:space="preserve"> entries.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Standardized textual columns (lowercased, trimmed whitespace).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Converted incorrect data types and invalid averages to numeric.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Dropped unrecoverable records after cleaning.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Validated non-null constraints and unique key integrity.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Generated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Data Quality Report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dq_report.md</w:t>
      </w:r>
      <w:r w:rsidDel="00000000" w:rsidR="00000000" w:rsidRPr="00000000">
        <w:rPr>
          <w:rFonts w:ascii="Arial" w:cs="Arial" w:eastAsia="Arial" w:hAnsi="Arial"/>
          <w:rtl w:val="0"/>
        </w:rPr>
        <w:t xml:space="preserve">) and summary statistics (</w:t>
      </w:r>
      <w:r w:rsidDel="00000000" w:rsidR="00000000" w:rsidRPr="00000000">
        <w:rPr>
          <w:rFonts w:ascii="Arial" w:cs="Arial" w:eastAsia="Arial" w:hAnsi="Arial"/>
          <w:rtl w:val="0"/>
        </w:rPr>
        <w:t xml:space="preserve">summary.csv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46">
      <w:pPr>
        <w:spacing w:after="20" w:line="240" w:lineRule="auto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</w:rPr>
        <w:drawing>
          <wp:inline distB="114300" distT="114300" distL="114300" distR="114300">
            <wp:extent cx="5486400" cy="39243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" w:line="240" w:lineRule="auto"/>
        <w:jc w:val="center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Cleaned Data Table - Top 10 rows from Silver</w:t>
      </w:r>
    </w:p>
    <w:p w:rsidR="00000000" w:rsidDel="00000000" w:rsidP="00000000" w:rsidRDefault="00000000" w:rsidRPr="00000000" w14:paraId="00000049">
      <w:pPr>
        <w:spacing w:after="20" w:line="240" w:lineRule="auto"/>
        <w:jc w:val="center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" w:line="240" w:lineRule="auto"/>
        <w:jc w:val="center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" w:line="240" w:lineRule="auto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</w:rPr>
        <w:drawing>
          <wp:inline distB="114300" distT="114300" distL="114300" distR="114300">
            <wp:extent cx="5486400" cy="29210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" w:line="240" w:lineRule="auto"/>
        <w:jc w:val="center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1st Row of data in Silver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2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16510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before="20" w:line="240" w:lineRule="auto"/>
        <w:jc w:val="center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Data Quality Check</w:t>
      </w:r>
    </w:p>
    <w:p w:rsidR="00000000" w:rsidDel="00000000" w:rsidP="00000000" w:rsidRDefault="00000000" w:rsidRPr="00000000" w14:paraId="00000050">
      <w:pPr>
        <w:spacing w:after="40" w:before="20" w:line="240" w:lineRule="auto"/>
        <w:jc w:val="center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3.4 Data Transformation</w:t>
      </w:r>
    </w:p>
    <w:p w:rsidR="00000000" w:rsidDel="00000000" w:rsidP="00000000" w:rsidRDefault="00000000" w:rsidRPr="00000000" w14:paraId="00000052">
      <w:pPr>
        <w:spacing w:after="2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cleaned Silver dataset was transformed into a Gold-format Delta table and feature-engineered for downstream modeling.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Transformations Performed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Format Conversion: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CSV → Parquet → Delta (versioned).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Feature Engineering: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Derived normalized average mass (</w:t>
      </w:r>
      <w:r w:rsidDel="00000000" w:rsidR="00000000" w:rsidRPr="00000000">
        <w:rPr>
          <w:rFonts w:ascii="Arial" w:cs="Arial" w:eastAsia="Arial" w:hAnsi="Arial"/>
          <w:rtl w:val="0"/>
        </w:rPr>
        <w:t xml:space="preserve">avg_mass_norm</w:t>
      </w:r>
      <w:r w:rsidDel="00000000" w:rsidR="00000000" w:rsidRPr="00000000">
        <w:rPr>
          <w:rFonts w:ascii="Arial" w:cs="Arial" w:eastAsia="Arial" w:hAnsi="Arial"/>
          <w:rtl w:val="0"/>
        </w:rPr>
        <w:t xml:space="preserve">) and tokenized textual attributes.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Text Tokenization &amp; Augmentation: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Performed subword tokenization and generated variations for mechanism and indication to support retrieval and language model fine-tuning.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Export:</w:t>
      </w:r>
      <w:r w:rsidDel="00000000" w:rsidR="00000000" w:rsidRPr="00000000">
        <w:rPr>
          <w:rFonts w:ascii="Arial" w:cs="Arial" w:eastAsia="Arial" w:hAnsi="Arial"/>
          <w:rtl w:val="0"/>
        </w:rPr>
        <w:t xml:space="preserve"> Final dataset saved as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silver_good.parquet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with Delta logs tracking lineage.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Transformation Outputs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Rows: 11 601 → 11 589 (post-cleaning)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Columns: 8 → 8 (validated schema)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DQ metrics recorded in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summary.csv</w:t>
      </w:r>
    </w:p>
    <w:p w:rsidR="00000000" w:rsidDel="00000000" w:rsidP="00000000" w:rsidRDefault="00000000" w:rsidRPr="00000000" w14:paraId="0000005D">
      <w:pPr>
        <w:spacing w:after="2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3.5 Data Preparation</w:t>
      </w:r>
    </w:p>
    <w:p w:rsidR="00000000" w:rsidDel="00000000" w:rsidP="00000000" w:rsidRDefault="00000000" w:rsidRPr="00000000" w14:paraId="0000005E">
      <w:pPr>
        <w:spacing w:after="2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Gold dataset was split for model training and evaluation using the finalized prepare_splits.py script.</w:t>
      </w:r>
    </w:p>
    <w:p w:rsidR="00000000" w:rsidDel="00000000" w:rsidP="00000000" w:rsidRDefault="00000000" w:rsidRPr="00000000" w14:paraId="00000060">
      <w:pPr>
        <w:spacing w:after="2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25.0" w:type="dxa"/>
        <w:jc w:val="left"/>
        <w:tblLayout w:type="fixed"/>
        <w:tblLook w:val="0600"/>
      </w:tblPr>
      <w:tblGrid>
        <w:gridCol w:w="810"/>
        <w:gridCol w:w="1230"/>
        <w:gridCol w:w="1290"/>
        <w:gridCol w:w="2370"/>
        <w:gridCol w:w="2925"/>
        <w:tblGridChange w:id="0">
          <w:tblGrid>
            <w:gridCol w:w="810"/>
            <w:gridCol w:w="1230"/>
            <w:gridCol w:w="1290"/>
            <w:gridCol w:w="2370"/>
            <w:gridCol w:w="2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Target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Realized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stratified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Stratified by indication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random fallback_small_class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Random fallback for small classes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random fallback_small_class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ensured no leakage</w:t>
            </w:r>
          </w:p>
        </w:tc>
      </w:tr>
    </w:tbl>
    <w:p w:rsidR="00000000" w:rsidDel="00000000" w:rsidP="00000000" w:rsidRDefault="00000000" w:rsidRPr="00000000" w14:paraId="0000007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Leakage Checks:</w:t>
      </w:r>
      <w:r w:rsidDel="00000000" w:rsidR="00000000" w:rsidRPr="00000000">
        <w:rPr>
          <w:rFonts w:ascii="Arial" w:cs="Arial" w:eastAsia="Arial" w:hAnsi="Arial"/>
          <w:rtl w:val="0"/>
        </w:rPr>
        <w:t xml:space="preserve"> train_val = 0 · train_test = 0 · val_test = 0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Rows:</w:t>
      </w:r>
      <w:r w:rsidDel="00000000" w:rsidR="00000000" w:rsidRPr="00000000">
        <w:rPr>
          <w:rFonts w:ascii="Arial" w:cs="Arial" w:eastAsia="Arial" w:hAnsi="Arial"/>
          <w:rtl w:val="0"/>
        </w:rPr>
        <w:t xml:space="preserve"> ~18,000 total (train: 12,600 · val: 2,700 · test: 2,700)</w:t>
      </w:r>
    </w:p>
    <w:p w:rsidR="00000000" w:rsidDel="00000000" w:rsidP="00000000" w:rsidRDefault="00000000" w:rsidRPr="00000000" w14:paraId="00000077">
      <w:pPr>
        <w:spacing w:after="40" w:before="2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1257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before="20" w:line="240" w:lineRule="auto"/>
        <w:jc w:val="center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train_samples.csv</w:t>
      </w:r>
    </w:p>
    <w:p w:rsidR="00000000" w:rsidDel="00000000" w:rsidP="00000000" w:rsidRDefault="00000000" w:rsidRPr="00000000" w14:paraId="00000079">
      <w:pPr>
        <w:spacing w:after="40" w:before="20" w:line="240" w:lineRule="auto"/>
        <w:jc w:val="center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before="20" w:line="240" w:lineRule="auto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i w:val="1"/>
        </w:rPr>
        <w:drawing>
          <wp:inline distB="114300" distT="114300" distL="114300" distR="114300">
            <wp:extent cx="5486400" cy="15113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before="20" w:line="240" w:lineRule="auto"/>
        <w:jc w:val="center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val_sample.csv</w:t>
      </w:r>
    </w:p>
    <w:p w:rsidR="00000000" w:rsidDel="00000000" w:rsidP="00000000" w:rsidRDefault="00000000" w:rsidRPr="00000000" w14:paraId="0000007C">
      <w:pPr>
        <w:spacing w:after="40" w:before="20" w:line="240" w:lineRule="auto"/>
        <w:jc w:val="center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before="20" w:line="240" w:lineRule="auto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i w:val="1"/>
        </w:rPr>
        <w:drawing>
          <wp:inline distB="114300" distT="114300" distL="114300" distR="114300">
            <wp:extent cx="5486400" cy="10160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before="20" w:line="240" w:lineRule="auto"/>
        <w:jc w:val="center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test_sample.csv 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3.6 Data Statistics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114300" distT="114300" distL="114300" distR="114300">
            <wp:extent cx="5486400" cy="15240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Charts </w:t>
      </w:r>
      <w:r w:rsidDel="00000000" w:rsidR="00000000" w:rsidRPr="00000000">
        <w:rPr>
          <w:rtl w:val="0"/>
        </w:rPr>
      </w:r>
    </w:p>
    <w:tbl>
      <w:tblPr>
        <w:tblStyle w:val="Table4"/>
        <w:tblW w:w="8655.0" w:type="dxa"/>
        <w:jc w:val="left"/>
        <w:tblLayout w:type="fixed"/>
        <w:tblLook w:val="0600"/>
      </w:tblPr>
      <w:tblGrid>
        <w:gridCol w:w="2025"/>
        <w:gridCol w:w="2505"/>
        <w:gridCol w:w="2025"/>
        <w:gridCol w:w="2100"/>
        <w:tblGridChange w:id="0">
          <w:tblGrid>
            <w:gridCol w:w="2025"/>
            <w:gridCol w:w="2505"/>
            <w:gridCol w:w="2025"/>
            <w:gridCol w:w="210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What It Shows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Rubric Coverage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Daily Ingest Counts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daily_ingest_trend.png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Number of records ingested over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Covers temporal integrity / pipeline freshness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Distribution of Avg Mass with Percentiles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mass_distribution_percentiles.png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Feature distribution, skew, percentile thresholds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Covers numerical distribution &amp; drift check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Mechanism Coverage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mechanism_coverage.png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Pie chart of missing vs present mechanism 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Covers completeness / missing ratio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Null Rates per Column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null_rates.png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Null % across all schema columns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Covers data completeness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plots_useful/feature_correlation_heatmap.png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Feature correlation heatmap (avg_mass, avg_mass_norm, ingest_dt_ordinal, *_len)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Relationships / drift &amp; redundancy check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Correlation among numeric features.</w:t>
            </w:r>
          </w:p>
        </w:tc>
      </w:tr>
    </w:tbl>
    <w:p w:rsidR="00000000" w:rsidDel="00000000" w:rsidP="00000000" w:rsidRDefault="00000000" w:rsidRPr="00000000" w14:paraId="0000009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before="2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86400" cy="4114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before="20" w:line="240" w:lineRule="auto"/>
        <w:jc w:val="center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Daily_ingest_trend.png</w:t>
      </w:r>
    </w:p>
    <w:p w:rsidR="00000000" w:rsidDel="00000000" w:rsidP="00000000" w:rsidRDefault="00000000" w:rsidRPr="00000000" w14:paraId="000000A0">
      <w:pPr>
        <w:spacing w:after="40" w:before="2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86400" cy="41148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before="20" w:line="240" w:lineRule="auto"/>
        <w:jc w:val="center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mass_distribution_percentiles.png</w:t>
      </w:r>
    </w:p>
    <w:p w:rsidR="00000000" w:rsidDel="00000000" w:rsidP="00000000" w:rsidRDefault="00000000" w:rsidRPr="00000000" w14:paraId="000000A2">
      <w:pPr>
        <w:spacing w:after="40" w:before="2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86400" cy="41148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before="20" w:line="240" w:lineRule="auto"/>
        <w:jc w:val="center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mechanism_coverage.png</w:t>
      </w:r>
    </w:p>
    <w:p w:rsidR="00000000" w:rsidDel="00000000" w:rsidP="00000000" w:rsidRDefault="00000000" w:rsidRPr="00000000" w14:paraId="000000A4">
      <w:pPr>
        <w:spacing w:after="240" w:before="240" w:lineRule="auto"/>
        <w:jc w:val="center"/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before="20" w:line="240" w:lineRule="auto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i w:val="1"/>
        </w:rPr>
        <w:drawing>
          <wp:inline distB="114300" distT="114300" distL="114300" distR="114300">
            <wp:extent cx="5486400" cy="34290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before="20" w:line="240" w:lineRule="auto"/>
        <w:jc w:val="center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Null_rates.png</w:t>
      </w:r>
    </w:p>
    <w:p w:rsidR="00000000" w:rsidDel="00000000" w:rsidP="00000000" w:rsidRDefault="00000000" w:rsidRPr="00000000" w14:paraId="000000A7">
      <w:pPr>
        <w:spacing w:after="40" w:before="20" w:line="240" w:lineRule="auto"/>
        <w:jc w:val="center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i w:val="1"/>
        </w:rPr>
        <w:drawing>
          <wp:inline distB="114300" distT="114300" distL="114300" distR="114300">
            <wp:extent cx="5486400" cy="4597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before="20" w:line="240" w:lineRule="auto"/>
        <w:jc w:val="center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feature_correlation_heatmap.png</w:t>
      </w:r>
    </w:p>
    <w:p w:rsidR="00000000" w:rsidDel="00000000" w:rsidP="00000000" w:rsidRDefault="00000000" w:rsidRPr="00000000" w14:paraId="000000A9">
      <w:pPr>
        <w:spacing w:after="40" w:before="20" w:line="240" w:lineRule="auto"/>
        <w:jc w:val="center"/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spacing w:after="20" w:before="0"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ebqdx5vopi7a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4. Model Development</w:t>
      </w:r>
    </w:p>
    <w:p w:rsidR="00000000" w:rsidDel="00000000" w:rsidP="00000000" w:rsidRDefault="00000000" w:rsidRPr="00000000" w14:paraId="000000AB">
      <w:pPr>
        <w:spacing w:after="2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4.1 Model Proposals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Five core models power the pipeline: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  <w:u w:val="single"/>
        </w:rPr>
      </w:pPr>
      <w:bookmarkStart w:colFirst="0" w:colLast="0" w:name="_elizgz5dv43a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0"/>
        </w:rPr>
        <w:t xml:space="preserve">M1 - Lexical Retriever (BM25/TF-IDF)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Problem targeted:</w:t>
      </w:r>
      <w:r w:rsidDel="00000000" w:rsidR="00000000" w:rsidRPr="00000000">
        <w:rPr>
          <w:rFonts w:ascii="Arial" w:cs="Arial" w:eastAsia="Arial" w:hAnsi="Arial"/>
          <w:rtl w:val="0"/>
        </w:rPr>
        <w:t xml:space="preserve"> Given a user query (drug name, symptom/indication, or short description), retrieve the most relevant DrugBank record(s).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Concept &amp; features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Index text: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drug_name, indication, mechanism, description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(lowercased, punctuation-stripped, tokenized; we already performed tokenization/augmentation during transformation).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Scoring: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BM25 (preferred) or TF-IDF cosine if BM25 isn’t available.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Query construction: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direct user text; fallbacks include aliasing simple typos (character edits) and stemming.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Output:</w:t>
      </w:r>
      <w:r w:rsidDel="00000000" w:rsidR="00000000" w:rsidRPr="00000000">
        <w:rPr>
          <w:rFonts w:ascii="Arial" w:cs="Arial" w:eastAsia="Arial" w:hAnsi="Arial"/>
          <w:rtl w:val="0"/>
        </w:rPr>
        <w:t xml:space="preserve"> Top-k doc IDs + scores.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Why lexical (now):</w:t>
      </w:r>
      <w:r w:rsidDel="00000000" w:rsidR="00000000" w:rsidRPr="00000000">
        <w:rPr>
          <w:rFonts w:ascii="Arial" w:cs="Arial" w:eastAsia="Arial" w:hAnsi="Arial"/>
          <w:rtl w:val="0"/>
        </w:rPr>
        <w:t xml:space="preserve"> We used only DrugBank; lexical retrieval is fast, transparent, and needs no external models or embeddings.</w:t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  <w:u w:val="single"/>
        </w:rPr>
      </w:pPr>
      <w:bookmarkStart w:colFirst="0" w:colLast="0" w:name="_rh11b3oyx2bn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0"/>
        </w:rPr>
        <w:t xml:space="preserve">M2 - Pair Relevance Verifier (Linear)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Problem targeted:</w:t>
      </w:r>
      <w:r w:rsidDel="00000000" w:rsidR="00000000" w:rsidRPr="00000000">
        <w:rPr>
          <w:rFonts w:ascii="Arial" w:cs="Arial" w:eastAsia="Arial" w:hAnsi="Arial"/>
          <w:rtl w:val="0"/>
        </w:rPr>
        <w:t xml:space="preserve"> Filter &amp; re-rank M1 candidates to reduce false positives before answering.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Concept &amp; features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Training data (from DrugBank only):</w:t>
      </w:r>
    </w:p>
    <w:p w:rsidR="00000000" w:rsidDel="00000000" w:rsidP="00000000" w:rsidRDefault="00000000" w:rsidRPr="00000000" w14:paraId="000000B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Positive pairs:</w:t>
      </w:r>
      <w:r w:rsidDel="00000000" w:rsidR="00000000" w:rsidRPr="00000000">
        <w:rPr>
          <w:rFonts w:ascii="Arial" w:cs="Arial" w:eastAsia="Arial" w:hAnsi="Arial"/>
          <w:rtl w:val="0"/>
        </w:rPr>
        <w:t xml:space="preserve"> (query_text, its own drug record text). We can derive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query_text</w:t>
      </w:r>
      <w:r w:rsidDel="00000000" w:rsidR="00000000" w:rsidRPr="00000000">
        <w:rPr>
          <w:rFonts w:ascii="Arial" w:cs="Arial" w:eastAsia="Arial" w:hAnsi="Arial"/>
          <w:rtl w:val="0"/>
        </w:rPr>
        <w:t xml:space="preserve"> from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drug_name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main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indication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snippet.</w:t>
      </w:r>
    </w:p>
    <w:p w:rsidR="00000000" w:rsidDel="00000000" w:rsidP="00000000" w:rsidRDefault="00000000" w:rsidRPr="00000000" w14:paraId="000000B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Negatives:</w:t>
      </w:r>
      <w:r w:rsidDel="00000000" w:rsidR="00000000" w:rsidRPr="00000000">
        <w:rPr>
          <w:rFonts w:ascii="Arial" w:cs="Arial" w:eastAsia="Arial" w:hAnsi="Arial"/>
          <w:rtl w:val="0"/>
        </w:rPr>
        <w:t xml:space="preserve"> pair each query with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rtl w:val="0"/>
        </w:rPr>
        <w:t xml:space="preserve"> random other drugs (hard negatives by matching the same first letter to make it non-trivial).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Features (all computable today):</w:t>
      </w:r>
    </w:p>
    <w:p w:rsidR="00000000" w:rsidDel="00000000" w:rsidP="00000000" w:rsidRDefault="00000000" w:rsidRPr="00000000" w14:paraId="000000B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Cosine similarity of TF-IDF vectors (query vs. record text)</w:t>
      </w:r>
    </w:p>
    <w:p w:rsidR="00000000" w:rsidDel="00000000" w:rsidP="00000000" w:rsidRDefault="00000000" w:rsidRPr="00000000" w14:paraId="000000B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Token overlap (Jaccard) on unigrams/bigrams</w:t>
      </w:r>
    </w:p>
    <w:p w:rsidR="00000000" w:rsidDel="00000000" w:rsidP="00000000" w:rsidRDefault="00000000" w:rsidRPr="00000000" w14:paraId="000000C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Field boosts (overlap with drug_name vs indication vs mechanism)</w:t>
      </w:r>
    </w:p>
    <w:p w:rsidR="00000000" w:rsidDel="00000000" w:rsidP="00000000" w:rsidRDefault="00000000" w:rsidRPr="00000000" w14:paraId="000000C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Length-normalized scores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Model:</w:t>
      </w:r>
      <w:r w:rsidDel="00000000" w:rsidR="00000000" w:rsidRPr="00000000">
        <w:rPr>
          <w:rFonts w:ascii="Arial" w:cs="Arial" w:eastAsia="Arial" w:hAnsi="Arial"/>
          <w:rtl w:val="0"/>
        </w:rPr>
        <w:t xml:space="preserve"> Logistic Regression (or Linear SVM) on the above features.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Use at inference: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each M1 candidate, compute features → probability → keep only p ≥ τ and re-rank by p.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Why a simple linear verifier: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Interpretable, fast, trainable on our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70/15/15</w:t>
      </w:r>
      <w:r w:rsidDel="00000000" w:rsidR="00000000" w:rsidRPr="00000000">
        <w:rPr>
          <w:rFonts w:ascii="Arial" w:cs="Arial" w:eastAsia="Arial" w:hAnsi="Arial"/>
          <w:rtl w:val="0"/>
        </w:rPr>
        <w:t xml:space="preserve"> splits; doesn’t require external embeddings.</w:t>
      </w:r>
    </w:p>
    <w:p w:rsidR="00000000" w:rsidDel="00000000" w:rsidP="00000000" w:rsidRDefault="00000000" w:rsidRPr="00000000" w14:paraId="000000C5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000000"/>
          <w:sz w:val="24"/>
          <w:szCs w:val="24"/>
          <w:u w:val="single"/>
        </w:rPr>
      </w:pPr>
      <w:bookmarkStart w:colFirst="0" w:colLast="0" w:name="_25qgor2viz1g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0"/>
        </w:rPr>
        <w:t xml:space="preserve">M3 - Confidence Calibrator (Optional, light)</w:t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Problem targeted:</w:t>
      </w:r>
      <w:r w:rsidDel="00000000" w:rsidR="00000000" w:rsidRPr="00000000">
        <w:rPr>
          <w:rFonts w:ascii="Arial" w:cs="Arial" w:eastAsia="Arial" w:hAnsi="Arial"/>
          <w:rtl w:val="0"/>
        </w:rPr>
        <w:t xml:space="preserve"> Make M2’s probabilities trustworthy for thresholds, ordering, and UI badges.</w:t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Concept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Platt scaling</w:t>
      </w:r>
      <w:r w:rsidDel="00000000" w:rsidR="00000000" w:rsidRPr="00000000">
        <w:rPr>
          <w:rFonts w:ascii="Arial" w:cs="Arial" w:eastAsia="Arial" w:hAnsi="Arial"/>
          <w:rtl w:val="0"/>
        </w:rPr>
        <w:t xml:space="preserve"> (logistic calibration) or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isotonic regression</w:t>
      </w:r>
      <w:r w:rsidDel="00000000" w:rsidR="00000000" w:rsidRPr="00000000">
        <w:rPr>
          <w:rFonts w:ascii="Arial" w:cs="Arial" w:eastAsia="Arial" w:hAnsi="Arial"/>
          <w:rtl w:val="0"/>
        </w:rPr>
        <w:t xml:space="preserve">, fit on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split.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Returns calibrated probabilities used by the guardrail engine and UI.</w:t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  <w:u w:val="single"/>
        </w:rPr>
      </w:pPr>
      <w:bookmarkStart w:colFirst="0" w:colLast="0" w:name="_2ifaz5g0uzkb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0"/>
        </w:rPr>
        <w:t xml:space="preserve">M4 - Guardrail Engine (Policy-first)</w:t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Problem targeted:</w:t>
      </w:r>
      <w:r w:rsidDel="00000000" w:rsidR="00000000" w:rsidRPr="00000000">
        <w:rPr>
          <w:rFonts w:ascii="Arial" w:cs="Arial" w:eastAsia="Arial" w:hAnsi="Arial"/>
          <w:rtl w:val="0"/>
        </w:rPr>
        <w:t xml:space="preserve"> Prevent unsafe or out-of-scope responses.</w:t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Policies implemented with rules/regex now (no external datasets required):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Medical advice boundaries: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Block dosage/instruction requests (“how much should I take”, “prescribe”, “treat me for …”) → show “informational only” with official source reminder.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Identity &amp; PII:</w:t>
      </w:r>
      <w:r w:rsidDel="00000000" w:rsidR="00000000" w:rsidRPr="00000000">
        <w:rPr>
          <w:rFonts w:ascii="Arial" w:cs="Arial" w:eastAsia="Arial" w:hAnsi="Arial"/>
          <w:rtl w:val="0"/>
        </w:rPr>
        <w:t xml:space="preserve"> Reject requests to identify a person or link private info.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Illicit use:</w:t>
      </w:r>
      <w:r w:rsidDel="00000000" w:rsidR="00000000" w:rsidRPr="00000000">
        <w:rPr>
          <w:rFonts w:ascii="Arial" w:cs="Arial" w:eastAsia="Arial" w:hAnsi="Arial"/>
          <w:rtl w:val="0"/>
        </w:rPr>
        <w:t xml:space="preserve"> Reject requests about misuse or self-harm.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Uncertainty:</w:t>
      </w:r>
      <w:r w:rsidDel="00000000" w:rsidR="00000000" w:rsidRPr="00000000">
        <w:rPr>
          <w:rFonts w:ascii="Arial" w:cs="Arial" w:eastAsia="Arial" w:hAnsi="Arial"/>
          <w:rtl w:val="0"/>
        </w:rPr>
        <w:t xml:space="preserve"> If M1 recall is low or M2/confidence &lt; τ, return “not enough evidence” rather than hallucinate.</w:t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Signals used:</w:t>
      </w:r>
      <w:r w:rsidDel="00000000" w:rsidR="00000000" w:rsidRPr="00000000">
        <w:rPr>
          <w:rFonts w:ascii="Arial" w:cs="Arial" w:eastAsia="Arial" w:hAnsi="Arial"/>
          <w:rtl w:val="0"/>
        </w:rPr>
        <w:t xml:space="preserve"> M1 top-k coverage, M2 probability, calibration, keyword/regex hits.</w:t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Action: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allow / answer-with-caveat / refuse.</w:t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  <w:u w:val="single"/>
        </w:rPr>
      </w:pPr>
      <w:bookmarkStart w:colFirst="0" w:colLast="0" w:name="_35ikpn80ujo9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0"/>
        </w:rPr>
        <w:t xml:space="preserve">M5 - Answer Composer (Template-based)</w:t>
      </w:r>
    </w:p>
    <w:p w:rsidR="00000000" w:rsidDel="00000000" w:rsidP="00000000" w:rsidRDefault="00000000" w:rsidRPr="00000000" w14:paraId="000000D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Problem targeted: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Produce a clean, consistent response without training a generative model.</w:t>
      </w:r>
    </w:p>
    <w:p w:rsidR="00000000" w:rsidDel="00000000" w:rsidP="00000000" w:rsidRDefault="00000000" w:rsidRPr="00000000" w14:paraId="000000D7">
      <w:pPr>
        <w:spacing w:after="240" w:before="24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Concept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Extract fields from the selected DrugBank record and assemble into a short, factual answer card:</w:t>
      </w:r>
    </w:p>
    <w:p w:rsidR="00000000" w:rsidDel="00000000" w:rsidP="00000000" w:rsidRDefault="00000000" w:rsidRPr="00000000" w14:paraId="000000D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Header:</w:t>
      </w:r>
      <w:r w:rsidDel="00000000" w:rsidR="00000000" w:rsidRPr="00000000">
        <w:rPr>
          <w:rFonts w:ascii="Arial" w:cs="Arial" w:eastAsia="Arial" w:hAnsi="Arial"/>
          <w:rtl w:val="0"/>
        </w:rPr>
        <w:t xml:space="preserve"> drug_name (+ avg_mass, optional)</w:t>
      </w:r>
    </w:p>
    <w:p w:rsidR="00000000" w:rsidDel="00000000" w:rsidP="00000000" w:rsidRDefault="00000000" w:rsidRPr="00000000" w14:paraId="000000D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Key facts:</w:t>
      </w:r>
      <w:r w:rsidDel="00000000" w:rsidR="00000000" w:rsidRPr="00000000">
        <w:rPr>
          <w:rFonts w:ascii="Arial" w:cs="Arial" w:eastAsia="Arial" w:hAnsi="Arial"/>
          <w:rtl w:val="0"/>
        </w:rPr>
        <w:t xml:space="preserve"> indication, mechanism,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rtl w:val="0"/>
        </w:rPr>
        <w:t xml:space="preserve"> (ingest_dt for provenance)</w:t>
      </w:r>
    </w:p>
    <w:p w:rsidR="00000000" w:rsidDel="00000000" w:rsidP="00000000" w:rsidRDefault="00000000" w:rsidRPr="00000000" w14:paraId="000000D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Caveat:</w:t>
      </w:r>
      <w:r w:rsidDel="00000000" w:rsidR="00000000" w:rsidRPr="00000000">
        <w:rPr>
          <w:rFonts w:ascii="Arial" w:cs="Arial" w:eastAsia="Arial" w:hAnsi="Arial"/>
          <w:rtl w:val="0"/>
        </w:rPr>
        <w:t xml:space="preserve"> “This is informational, not medical advice.”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 generative paraphrasing</w:t>
      </w:r>
      <w:r w:rsidDel="00000000" w:rsidR="00000000" w:rsidRPr="00000000">
        <w:rPr>
          <w:rFonts w:ascii="Arial" w:cs="Arial" w:eastAsia="Arial" w:hAnsi="Arial"/>
          <w:rtl w:val="0"/>
        </w:rPr>
        <w:t xml:space="preserve"> (keeps us within a single dataset + avoids hallucinations).</w:t>
      </w:r>
    </w:p>
    <w:p w:rsidR="00000000" w:rsidDel="00000000" w:rsidP="00000000" w:rsidRDefault="00000000" w:rsidRPr="00000000" w14:paraId="000000DD">
      <w:pPr>
        <w:spacing w:after="240" w:before="24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4.2 Model Supports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Data layer: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PySpark + Delta/Parquet (DrugBank XML → Bronze/Silver/Gold)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Validation: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DuckDB checks; dq_report.md, summary.csv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Model stack:</w:t>
      </w:r>
      <w:r w:rsidDel="00000000" w:rsidR="00000000" w:rsidRPr="00000000">
        <w:rPr>
          <w:rFonts w:ascii="Arial" w:cs="Arial" w:eastAsia="Arial" w:hAnsi="Arial"/>
          <w:rtl w:val="0"/>
        </w:rPr>
        <w:t xml:space="preserve"> scikit-learn (TF-IDF, Logistic Regression / Linear SVM, calibration)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Serving/UI:</w:t>
      </w:r>
      <w:r w:rsidDel="00000000" w:rsidR="00000000" w:rsidRPr="00000000">
        <w:rPr>
          <w:rFonts w:ascii="Arial" w:cs="Arial" w:eastAsia="Arial" w:hAnsi="Arial"/>
          <w:rtl w:val="0"/>
        </w:rPr>
        <w:t xml:space="preserve"> Streamlit front-end; simple Python backend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Versioning &amp; tracking: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DVC for datasets, Delta logs for lineage; lightweight run logs for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Data Flow: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Sources → ETL → DuckDB/FAISS → M1 → M2 → M3 → M4 → M5 → Streamlit UI</w:t>
      </w:r>
    </w:p>
    <w:p w:rsidR="00000000" w:rsidDel="00000000" w:rsidP="00000000" w:rsidRDefault="00000000" w:rsidRPr="00000000" w14:paraId="000000E5">
      <w:pPr>
        <w:keepNext w:val="0"/>
        <w:keepLines w:val="0"/>
        <w:spacing w:after="80" w:before="2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4.3 Model Comparison and Justification</w:t>
      </w:r>
    </w:p>
    <w:tbl>
      <w:tblPr>
        <w:tblStyle w:val="Table5"/>
        <w:tblW w:w="8640.0" w:type="dxa"/>
        <w:jc w:val="left"/>
        <w:tblLayout w:type="fixed"/>
        <w:tblLook w:val="0600"/>
      </w:tblPr>
      <w:tblGrid>
        <w:gridCol w:w="1380"/>
        <w:gridCol w:w="1440"/>
        <w:gridCol w:w="1920"/>
        <w:gridCol w:w="1860"/>
        <w:gridCol w:w="2040"/>
        <w:tblGridChange w:id="0">
          <w:tblGrid>
            <w:gridCol w:w="1380"/>
            <w:gridCol w:w="1440"/>
            <w:gridCol w:w="1920"/>
            <w:gridCol w:w="1860"/>
            <w:gridCol w:w="2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Targeted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Strengths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Limitations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M1 Retriever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Find candidate drug records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BM25/TF-IDF over DrugBank 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Fast, transparent, no external deps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Purely lexical; synonyms/typos can hurt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M2 Verifier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Remove false positives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Linear model over lexical similarity features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Interpretable, quick; uses our splits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Needs curated negatives; depends on feature quality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M3 Calibrator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Reliable confidence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Platt/isotonic on val split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Better thresholds, better sorting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Needs adequate val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M4 Guardrails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Safety &amp; scope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Policy rules + score thresholds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Deterministic, auditable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Rule maintenance; coarse classes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M5 Composer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 answer formatting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Template extraction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Zero hallucination; consistent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abstractive phrasing</w:t>
            </w:r>
          </w:p>
        </w:tc>
      </w:tr>
    </w:tbl>
    <w:p w:rsidR="00000000" w:rsidDel="00000000" w:rsidP="00000000" w:rsidRDefault="00000000" w:rsidRPr="00000000" w14:paraId="00000104">
      <w:pPr>
        <w:spacing w:after="240" w:befor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Design justification: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With only DrugBank available, 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lexical IR + linear verifier</w:t>
      </w:r>
      <w:r w:rsidDel="00000000" w:rsidR="00000000" w:rsidRPr="00000000">
        <w:rPr>
          <w:rFonts w:ascii="Arial" w:cs="Arial" w:eastAsia="Arial" w:hAnsi="Arial"/>
          <w:rtl w:val="0"/>
        </w:rPr>
        <w:t xml:space="preserve"> architecture is the most robust, auditable, and resource-light choice. We avoid external embeddings and still achieve strong retrieval quality with clear failure modes.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spacing w:after="8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4.4 Model Evaluation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ind w:left="0" w:right="60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All evaluations use the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prepared splits</w:t>
      </w:r>
      <w:r w:rsidDel="00000000" w:rsidR="00000000" w:rsidRPr="00000000">
        <w:rPr>
          <w:rFonts w:ascii="Arial" w:cs="Arial" w:eastAsia="Arial" w:hAnsi="Arial"/>
          <w:rtl w:val="0"/>
        </w:rPr>
        <w:t xml:space="preserve"> (70/15/15; stratified by </w:t>
      </w:r>
      <w:r w:rsidDel="00000000" w:rsidR="00000000" w:rsidRPr="00000000">
        <w:rPr>
          <w:rFonts w:ascii="Arial" w:cs="Arial" w:eastAsia="Arial" w:hAnsi="Arial"/>
          <w:rtl w:val="0"/>
        </w:rPr>
        <w:t xml:space="preserve">indication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; no ID leakage).</w:t>
        <w:br w:type="textWrapping"/>
        <w:t xml:space="preserve">For IR labels, we derive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queries</w:t>
      </w:r>
      <w:r w:rsidDel="00000000" w:rsidR="00000000" w:rsidRPr="00000000">
        <w:rPr>
          <w:rFonts w:ascii="Arial" w:cs="Arial" w:eastAsia="Arial" w:hAnsi="Arial"/>
          <w:rtl w:val="0"/>
        </w:rPr>
        <w:t xml:space="preserve"> from each drug’s </w:t>
      </w:r>
      <w:r w:rsidDel="00000000" w:rsidR="00000000" w:rsidRPr="00000000">
        <w:rPr>
          <w:rFonts w:ascii="Arial" w:cs="Arial" w:eastAsia="Arial" w:hAnsi="Arial"/>
          <w:rtl w:val="0"/>
        </w:rPr>
        <w:t xml:space="preserve">drug_name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short </w:t>
      </w:r>
      <w:r w:rsidDel="00000000" w:rsidR="00000000" w:rsidRPr="00000000">
        <w:rPr>
          <w:rFonts w:ascii="Arial" w:cs="Arial" w:eastAsia="Arial" w:hAnsi="Arial"/>
          <w:rtl w:val="0"/>
        </w:rPr>
        <w:t xml:space="preserve">indication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snippet; the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relevant doc</w:t>
      </w:r>
      <w:r w:rsidDel="00000000" w:rsidR="00000000" w:rsidRPr="00000000">
        <w:rPr>
          <w:rFonts w:ascii="Arial" w:cs="Arial" w:eastAsia="Arial" w:hAnsi="Arial"/>
          <w:rtl w:val="0"/>
        </w:rPr>
        <w:t xml:space="preserve"> is the source record (and any exact aliases if available).</w:t>
      </w:r>
    </w:p>
    <w:p w:rsidR="00000000" w:rsidDel="00000000" w:rsidP="00000000" w:rsidRDefault="00000000" w:rsidRPr="00000000" w14:paraId="00000107">
      <w:pPr>
        <w:keepNext w:val="0"/>
        <w:keepLines w:val="0"/>
        <w:spacing w:after="80" w:before="280" w:lineRule="auto"/>
        <w:jc w:val="both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M1 - Retriever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Metrics (Test):</w:t>
      </w:r>
    </w:p>
    <w:p w:rsidR="00000000" w:rsidDel="00000000" w:rsidP="00000000" w:rsidRDefault="00000000" w:rsidRPr="00000000" w14:paraId="000001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Recall@k</w:t>
      </w:r>
      <w:r w:rsidDel="00000000" w:rsidR="00000000" w:rsidRPr="00000000">
        <w:rPr>
          <w:rFonts w:ascii="Arial" w:cs="Arial" w:eastAsia="Arial" w:hAnsi="Arial"/>
          <w:rtl w:val="0"/>
        </w:rPr>
        <w:t xml:space="preserve"> (k=1,5,10): fraction of queries where the correct drug appears in the top-k</w:t>
      </w:r>
    </w:p>
    <w:p w:rsidR="00000000" w:rsidDel="00000000" w:rsidP="00000000" w:rsidRDefault="00000000" w:rsidRPr="00000000" w14:paraId="000001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MRR@10:</w:t>
      </w:r>
      <w:r w:rsidDel="00000000" w:rsidR="00000000" w:rsidRPr="00000000">
        <w:rPr>
          <w:rFonts w:ascii="Arial" w:cs="Arial" w:eastAsia="Arial" w:hAnsi="Arial"/>
          <w:rtl w:val="0"/>
        </w:rPr>
        <w:t xml:space="preserve"> mean reciprocal rank of the first correct hit</w:t>
      </w:r>
    </w:p>
    <w:p w:rsidR="00000000" w:rsidDel="00000000" w:rsidP="00000000" w:rsidRDefault="00000000" w:rsidRPr="00000000" w14:paraId="000001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p95 latency</w:t>
      </w:r>
      <w:r w:rsidDel="00000000" w:rsidR="00000000" w:rsidRPr="00000000">
        <w:rPr>
          <w:rFonts w:ascii="Arial" w:cs="Arial" w:eastAsia="Arial" w:hAnsi="Arial"/>
          <w:rtl w:val="0"/>
        </w:rPr>
        <w:t xml:space="preserve"> (ms): index lookup time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Success criterion (baseline):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Recall@10 ≥ 0.90; p95 latency &lt; 50 ms (local index)</w:t>
      </w:r>
    </w:p>
    <w:p w:rsidR="00000000" w:rsidDel="00000000" w:rsidP="00000000" w:rsidRDefault="00000000" w:rsidRPr="00000000" w14:paraId="0000010D">
      <w:pPr>
        <w:keepNext w:val="0"/>
        <w:keepLines w:val="0"/>
        <w:spacing w:after="80" w:before="280" w:lineRule="auto"/>
        <w:jc w:val="both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M2 - Verifier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Labels:</w:t>
      </w:r>
      <w:r w:rsidDel="00000000" w:rsidR="00000000" w:rsidRPr="00000000">
        <w:rPr>
          <w:rFonts w:ascii="Arial" w:cs="Arial" w:eastAsia="Arial" w:hAnsi="Arial"/>
          <w:rtl w:val="0"/>
        </w:rPr>
        <w:t xml:space="preserve"> Positive = (query, its own drug record); Negative = (query, randomly chosen other drug) — use hard negatives where name initial matches.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Metrics (Test):</w:t>
      </w:r>
      <w:r w:rsidDel="00000000" w:rsidR="00000000" w:rsidRPr="00000000">
        <w:rPr>
          <w:rFonts w:ascii="Arial" w:cs="Arial" w:eastAsia="Arial" w:hAnsi="Arial"/>
          <w:rtl w:val="0"/>
        </w:rPr>
        <w:t xml:space="preserve"> Precision, Recall, F1, ROC-AUC;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 curve</w:t>
      </w:r>
      <w:r w:rsidDel="00000000" w:rsidR="00000000" w:rsidRPr="00000000">
        <w:rPr>
          <w:rFonts w:ascii="Arial" w:cs="Arial" w:eastAsia="Arial" w:hAnsi="Arial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confusion matrix</w:t>
      </w:r>
      <w:r w:rsidDel="00000000" w:rsidR="00000000" w:rsidRPr="00000000">
        <w:rPr>
          <w:rFonts w:ascii="Arial" w:cs="Arial" w:eastAsia="Arial" w:hAnsi="Arial"/>
          <w:rtl w:val="0"/>
        </w:rPr>
        <w:t xml:space="preserve"> at operating point τ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Ablations:</w:t>
      </w:r>
      <w:r w:rsidDel="00000000" w:rsidR="00000000" w:rsidRPr="00000000">
        <w:rPr>
          <w:rFonts w:ascii="Arial" w:cs="Arial" w:eastAsia="Arial" w:hAnsi="Arial"/>
          <w:rtl w:val="0"/>
        </w:rPr>
        <w:t xml:space="preserve"> with/without bigram overlap; with/without field boosts</w:t>
      </w:r>
    </w:p>
    <w:p w:rsidR="00000000" w:rsidDel="00000000" w:rsidP="00000000" w:rsidRDefault="00000000" w:rsidRPr="00000000" w14:paraId="00000111">
      <w:pPr>
        <w:keepNext w:val="0"/>
        <w:keepLines w:val="0"/>
        <w:spacing w:after="80" w:before="280" w:lineRule="auto"/>
        <w:jc w:val="both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M3 - Calibrator (optional)</w:t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Fit:</w:t>
      </w:r>
      <w:r w:rsidDel="00000000" w:rsidR="00000000" w:rsidRPr="00000000">
        <w:rPr>
          <w:rFonts w:ascii="Arial" w:cs="Arial" w:eastAsia="Arial" w:hAnsi="Arial"/>
          <w:rtl w:val="0"/>
        </w:rPr>
        <w:t xml:space="preserve"> on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split only</w:t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Metrics: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ECE</w:t>
      </w:r>
      <w:r w:rsidDel="00000000" w:rsidR="00000000" w:rsidRPr="00000000">
        <w:rPr>
          <w:rFonts w:ascii="Arial" w:cs="Arial" w:eastAsia="Arial" w:hAnsi="Arial"/>
          <w:rtl w:val="0"/>
        </w:rPr>
        <w:t xml:space="preserve"> (Expected Calibration Error),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Brier score</w:t>
      </w:r>
      <w:r w:rsidDel="00000000" w:rsidR="00000000" w:rsidRPr="00000000">
        <w:rPr>
          <w:rFonts w:ascii="Arial" w:cs="Arial" w:eastAsia="Arial" w:hAnsi="Arial"/>
          <w:rtl w:val="0"/>
        </w:rPr>
        <w:t xml:space="preserve"> on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test</w:t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Pass criteria: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ECE improves vs. uncalibrated; Brier ↓</w:t>
      </w:r>
    </w:p>
    <w:p w:rsidR="00000000" w:rsidDel="00000000" w:rsidP="00000000" w:rsidRDefault="00000000" w:rsidRPr="00000000" w14:paraId="00000115">
      <w:pPr>
        <w:keepNext w:val="0"/>
        <w:keepLines w:val="0"/>
        <w:spacing w:after="80" w:before="280" w:lineRule="auto"/>
        <w:jc w:val="both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M4 - Guardrails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Inputs monitored:</w:t>
      </w:r>
      <w:r w:rsidDel="00000000" w:rsidR="00000000" w:rsidRPr="00000000">
        <w:rPr>
          <w:rFonts w:ascii="Arial" w:cs="Arial" w:eastAsia="Arial" w:hAnsi="Arial"/>
          <w:rtl w:val="0"/>
        </w:rPr>
        <w:t xml:space="preserve"> M1 Recall@k coverage, M2 probability, presence of blocked keywords/regex</w:t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Metrics:</w:t>
      </w:r>
      <w:r w:rsidDel="00000000" w:rsidR="00000000" w:rsidRPr="00000000">
        <w:rPr>
          <w:rFonts w:ascii="Arial" w:cs="Arial" w:eastAsia="Arial" w:hAnsi="Arial"/>
          <w:rtl w:val="0"/>
        </w:rPr>
        <w:t xml:space="preserve"> Allow/Flag/Refuse rates;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false-block</w:t>
      </w:r>
      <w:r w:rsidDel="00000000" w:rsidR="00000000" w:rsidRPr="00000000">
        <w:rPr>
          <w:rFonts w:ascii="Arial" w:cs="Arial" w:eastAsia="Arial" w:hAnsi="Arial"/>
          <w:rtl w:val="0"/>
        </w:rPr>
        <w:t xml:space="preserve"> rate on a benign prompt set;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time to decision</w:t>
      </w:r>
      <w:r w:rsidDel="00000000" w:rsidR="00000000" w:rsidRPr="00000000">
        <w:rPr>
          <w:rFonts w:ascii="Arial" w:cs="Arial" w:eastAsia="Arial" w:hAnsi="Arial"/>
          <w:rtl w:val="0"/>
        </w:rPr>
        <w:t xml:space="preserve"> (ms)</w:t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Policy tests:</w:t>
      </w:r>
      <w:r w:rsidDel="00000000" w:rsidR="00000000" w:rsidRPr="00000000">
        <w:rPr>
          <w:rFonts w:ascii="Arial" w:cs="Arial" w:eastAsia="Arial" w:hAnsi="Arial"/>
          <w:rtl w:val="0"/>
        </w:rPr>
        <w:t xml:space="preserve"> unit tests with canned prompts to assert correct action (allow/refuse)</w:t>
      </w:r>
    </w:p>
    <w:p w:rsidR="00000000" w:rsidDel="00000000" w:rsidP="00000000" w:rsidRDefault="00000000" w:rsidRPr="00000000" w14:paraId="00000119">
      <w:pPr>
        <w:keepNext w:val="0"/>
        <w:keepLines w:val="0"/>
        <w:spacing w:after="80" w:before="280" w:lineRule="auto"/>
        <w:jc w:val="both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End-to-end (M1→M2→M4→M5)</w:t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Metric:</w:t>
      </w:r>
      <w:r w:rsidDel="00000000" w:rsidR="00000000" w:rsidRPr="00000000">
        <w:rPr>
          <w:rFonts w:ascii="Arial" w:cs="Arial" w:eastAsia="Arial" w:hAnsi="Arial"/>
          <w:rtl w:val="0"/>
        </w:rPr>
        <w:t xml:space="preserve"> Final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Answerable@k</w:t>
      </w:r>
      <w:r w:rsidDel="00000000" w:rsidR="00000000" w:rsidRPr="00000000">
        <w:rPr>
          <w:rFonts w:ascii="Arial" w:cs="Arial" w:eastAsia="Arial" w:hAnsi="Arial"/>
          <w:rtl w:val="0"/>
        </w:rPr>
        <w:t xml:space="preserve"> (does the system return a safe, grounded card for the correct drug)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User-perceived latency:</w:t>
      </w:r>
      <w:r w:rsidDel="00000000" w:rsidR="00000000" w:rsidRPr="00000000">
        <w:rPr>
          <w:rFonts w:ascii="Arial" w:cs="Arial" w:eastAsia="Arial" w:hAnsi="Arial"/>
          <w:rtl w:val="0"/>
        </w:rPr>
        <w:t xml:space="preserve"> p95 under 200 ms target (local)</w:t>
      </w:r>
    </w:p>
    <w:p w:rsidR="00000000" w:rsidDel="00000000" w:rsidP="00000000" w:rsidRDefault="00000000" w:rsidRPr="00000000" w14:paraId="0000011C">
      <w:pPr>
        <w:spacing w:after="240" w:befor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spacing w:after="80" w:befor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4.5 Model Validation and Evaluation (to be completed in DATA 298B)</w:t>
      </w:r>
    </w:p>
    <w:p w:rsidR="00000000" w:rsidDel="00000000" w:rsidP="00000000" w:rsidRDefault="00000000" w:rsidRPr="00000000" w14:paraId="0000011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Planned validation on the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held-out test set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Retrieval quality:</w:t>
      </w:r>
      <w:r w:rsidDel="00000000" w:rsidR="00000000" w:rsidRPr="00000000">
        <w:rPr>
          <w:rFonts w:ascii="Arial" w:cs="Arial" w:eastAsia="Arial" w:hAnsi="Arial"/>
          <w:rtl w:val="0"/>
        </w:rPr>
        <w:t xml:space="preserve"> Report Recall@{1,5,10} &amp; MRR; compare BM25 vs. TF-IDF if both are implemented.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Verifier quality:</w:t>
      </w:r>
      <w:r w:rsidDel="00000000" w:rsidR="00000000" w:rsidRPr="00000000">
        <w:rPr>
          <w:rFonts w:ascii="Arial" w:cs="Arial" w:eastAsia="Arial" w:hAnsi="Arial"/>
          <w:rtl w:val="0"/>
        </w:rPr>
        <w:t xml:space="preserve"> Plot ROC/PR; choose threshold τ via F1 or minimal FAR at acceptable FRR.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Calibration impact: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Compare ECE/Brier pre/post calibration and show reliability diagrams.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Guardrails:</w:t>
      </w:r>
      <w:r w:rsidDel="00000000" w:rsidR="00000000" w:rsidRPr="00000000">
        <w:rPr>
          <w:rFonts w:ascii="Arial" w:cs="Arial" w:eastAsia="Arial" w:hAnsi="Arial"/>
          <w:rtl w:val="0"/>
        </w:rPr>
        <w:t xml:space="preserve"> Tabulate allow/flag/refuse on a curated test prompt suite; measure false-block rate.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System comparison:</w:t>
      </w:r>
      <w:r w:rsidDel="00000000" w:rsidR="00000000" w:rsidRPr="00000000">
        <w:rPr>
          <w:rFonts w:ascii="Arial" w:cs="Arial" w:eastAsia="Arial" w:hAnsi="Arial"/>
          <w:rtl w:val="0"/>
        </w:rPr>
        <w:t xml:space="preserve"> Present end-to-end Answerable@k and p95 latency with/without verifier, with/without calibration (ablation table).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3nr5qmayblh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References</w:t>
      </w:r>
    </w:p>
    <w:p w:rsidR="00000000" w:rsidDel="00000000" w:rsidP="00000000" w:rsidRDefault="00000000" w:rsidRPr="00000000" w14:paraId="0000012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[1] Z. Ji et al., “Survey of hallucination in natural language generation,”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ACM Computing Surveys</w:t>
      </w:r>
      <w:r w:rsidDel="00000000" w:rsidR="00000000" w:rsidRPr="00000000">
        <w:rPr>
          <w:rFonts w:ascii="Arial" w:cs="Arial" w:eastAsia="Arial" w:hAnsi="Arial"/>
          <w:rtl w:val="0"/>
        </w:rPr>
        <w:t xml:space="preserve">, vol. 55, no. 12, pp. 1–38, 2023.</w:t>
        <w:br w:type="textWrapping"/>
        <w:t xml:space="preserve">[2] P. Manakul, A. Liusie, and M. Gales, “SelfCheckGPT: Zero-resource black-box hallucination detection for generative large language models,” in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Proc. EMNLP</w:t>
      </w:r>
      <w:r w:rsidDel="00000000" w:rsidR="00000000" w:rsidRPr="00000000">
        <w:rPr>
          <w:rFonts w:ascii="Arial" w:cs="Arial" w:eastAsia="Arial" w:hAnsi="Arial"/>
          <w:rtl w:val="0"/>
        </w:rPr>
        <w:t xml:space="preserve">, 2023.</w:t>
        <w:br w:type="textWrapping"/>
        <w:t xml:space="preserve">[3] S. Min et al., “FActScore: Fine-grained atomic evaluation of factual precision in long-form text generation,” in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Proc. EMNLP</w:t>
      </w:r>
      <w:r w:rsidDel="00000000" w:rsidR="00000000" w:rsidRPr="00000000">
        <w:rPr>
          <w:rFonts w:ascii="Arial" w:cs="Arial" w:eastAsia="Arial" w:hAnsi="Arial"/>
          <w:rtl w:val="0"/>
        </w:rPr>
        <w:t xml:space="preserve">, 2023.</w:t>
        <w:br w:type="textWrapping"/>
        <w:t xml:space="preserve">[4] T. Sava et al., “NeMo Guardrails: A toolkit for controllable and safe LLM applications,” arXiv:2310.10501, 2023.</w:t>
        <w:br w:type="textWrapping"/>
        <w:t xml:space="preserve">[5] Y. Bai et al., “Constitutional AI: Harmlessness from AI feedback,” arXiv:2212.08073, 2022.</w:t>
        <w:br w:type="textWrapping"/>
        <w:t xml:space="preserve">[6] H. Inan et al., “Llama Guard: LLM-based input-output safeguard for human-AI conversations,” arXiv:2312.06674, 2023.</w:t>
        <w:br w:type="textWrapping"/>
        <w:t xml:space="preserve">[7] T. Han et al., “MedSafetyBench: Evaluating and improving the medical safety of large language models,” arXiv:2403.03744, 2024.</w:t>
        <w:br w:type="textWrapping"/>
        <w:t xml:space="preserve">[8] Q. Jin et al., “PubMedQA: A dataset for biomedical research question answering,” in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Proc. EMNLP-IJCNLP</w:t>
      </w:r>
      <w:r w:rsidDel="00000000" w:rsidR="00000000" w:rsidRPr="00000000">
        <w:rPr>
          <w:rFonts w:ascii="Arial" w:cs="Arial" w:eastAsia="Arial" w:hAnsi="Arial"/>
          <w:rtl w:val="0"/>
        </w:rPr>
        <w:t xml:space="preserve">, 2019.</w:t>
        <w:br w:type="textWrapping"/>
        <w:t xml:space="preserve">[9] D. Jin et al., “What disease does this patient have? A large-scale open-domain QA dataset from medical exams (MedQA),” arXiv:2009.13081, 2020.</w:t>
        <w:br w:type="textWrapping"/>
        <w:t xml:space="preserve">[10] R. Luo et al., “BioGPT: Generative pre-trained transformer for biomedical text generation and mining,” arXiv:2210.10341, 2022.</w:t>
        <w:br w:type="textWrapping"/>
        <w:t xml:space="preserve">[11] G. Xiong et al., “Benchmarking retrieval-augmented generation for medicine (MIRAGE),” arXiv:2402.13178, 2024.</w:t>
        <w:br w:type="textWrapping"/>
        <w:t xml:space="preserve">[12] Y. Shi et al., “MKRAG: Medical knowledge retrieval-augmented generation for medical question answering,” arXiv:2309.16035, 2023.</w:t>
        <w:br w:type="textWrapping"/>
        <w:t xml:space="preserve">[13] V. Natarajan et al., “Large language models encode clinical knowledge (Med-PaLM),”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Nature</w:t>
      </w:r>
      <w:r w:rsidDel="00000000" w:rsidR="00000000" w:rsidRPr="00000000">
        <w:rPr>
          <w:rFonts w:ascii="Arial" w:cs="Arial" w:eastAsia="Arial" w:hAnsi="Arial"/>
          <w:rtl w:val="0"/>
        </w:rPr>
        <w:t xml:space="preserve">, 2023.</w:t>
        <w:br w:type="textWrapping"/>
        <w:t xml:space="preserve">[14] K. Singhal et al., “Toward expert-level medical question answering with large language models (Med-PaLM 2),”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Nature Medicine</w:t>
      </w:r>
      <w:r w:rsidDel="00000000" w:rsidR="00000000" w:rsidRPr="00000000">
        <w:rPr>
          <w:rFonts w:ascii="Arial" w:cs="Arial" w:eastAsia="Arial" w:hAnsi="Arial"/>
          <w:rtl w:val="0"/>
        </w:rPr>
        <w:t xml:space="preserve">, 2025.</w:t>
        <w:br w:type="textWrapping"/>
        <w:t xml:space="preserve">[15] M. R. Khan et al., “Medical hallucinations in foundation models and their impact on healthcare,” arXiv:2503.05777, 2025.</w:t>
        <w:br w:type="textWrapping"/>
        <w:t xml:space="preserve">[16] A. Framework Authors, “A framework to assess clinical safety and hallucination rates of LLMs,”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medRxiv</w:t>
      </w:r>
      <w:r w:rsidDel="00000000" w:rsidR="00000000" w:rsidRPr="00000000">
        <w:rPr>
          <w:rFonts w:ascii="Arial" w:cs="Arial" w:eastAsia="Arial" w:hAnsi="Arial"/>
          <w:rtl w:val="0"/>
        </w:rPr>
        <w:t xml:space="preserve">, 2024.</w:t>
        <w:br w:type="textWrapping"/>
        <w:t xml:space="preserve">[17] P. Lewis et al., “Retrieval-augmented generation for knowledge-intensive NLP tasks,” in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Proc. NeurIPS</w:t>
      </w:r>
      <w:r w:rsidDel="00000000" w:rsidR="00000000" w:rsidRPr="00000000">
        <w:rPr>
          <w:rFonts w:ascii="Arial" w:cs="Arial" w:eastAsia="Arial" w:hAnsi="Arial"/>
          <w:rtl w:val="0"/>
        </w:rPr>
        <w:t xml:space="preserve">, 2020.</w:t>
        <w:br w:type="textWrapping"/>
        <w:t xml:space="preserve">[18] G. Izacard and E. Grave, “Leveraging passage retrieval with generative models for open-domain question answering,” in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Proc. EACL</w:t>
      </w:r>
      <w:r w:rsidDel="00000000" w:rsidR="00000000" w:rsidRPr="00000000">
        <w:rPr>
          <w:rFonts w:ascii="Arial" w:cs="Arial" w:eastAsia="Arial" w:hAnsi="Arial"/>
          <w:rtl w:val="0"/>
        </w:rPr>
        <w:t xml:space="preserve">, 2021.</w:t>
        <w:br w:type="textWrapping"/>
        <w:t xml:space="preserve">[19] R. Es et al., “RAGAS: Automated evaluation for retrieval-augmented generation,” arXiv:2309.15217, 2023.</w:t>
        <w:br w:type="textWrapping"/>
        <w:t xml:space="preserve">[20] S. Pal et al., “MedMCQA: A large-scale multi-subject medical exam benchmark for QA,” arXiv:2203.14371, 2022.</w:t>
        <w:br w:type="textWrapping"/>
        <w:t xml:space="preserve">[21] G. Tsatsaronis et al., “BioASQ: A challenge on large-scale biomedical semantic indexing and question answering,” in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Proc. CLEF</w:t>
      </w:r>
      <w:r w:rsidDel="00000000" w:rsidR="00000000" w:rsidRPr="00000000">
        <w:rPr>
          <w:rFonts w:ascii="Arial" w:cs="Arial" w:eastAsia="Arial" w:hAnsi="Arial"/>
          <w:rtl w:val="0"/>
        </w:rPr>
        <w:t xml:space="preserve">, 2015.</w:t>
        <w:br w:type="textWrapping"/>
        <w:t xml:space="preserve">[22] D. S. Wishart et al., “DrugBank 5.0: A major update to the DrugBank database for 2018,”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Nucleic Acids Research</w:t>
      </w:r>
      <w:r w:rsidDel="00000000" w:rsidR="00000000" w:rsidRPr="00000000">
        <w:rPr>
          <w:rFonts w:ascii="Arial" w:cs="Arial" w:eastAsia="Arial" w:hAnsi="Arial"/>
          <w:rtl w:val="0"/>
        </w:rPr>
        <w:t xml:space="preserve">, vol. 46, pp. D1074–D1082, 2018. </w:t>
      </w:r>
    </w:p>
    <w:p w:rsidR="00000000" w:rsidDel="00000000" w:rsidP="00000000" w:rsidRDefault="00000000" w:rsidRPr="00000000" w14:paraId="0000012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[23] D. Armbrust et al., “Delta Lake: High-performance ACID table storage over cloud object stores,” in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Proc. VLDB</w:t>
      </w:r>
      <w:r w:rsidDel="00000000" w:rsidR="00000000" w:rsidRPr="00000000">
        <w:rPr>
          <w:rFonts w:ascii="Arial" w:cs="Arial" w:eastAsia="Arial" w:hAnsi="Arial"/>
          <w:rtl w:val="0"/>
        </w:rPr>
        <w:t xml:space="preserve">, 2020.</w:t>
        <w:br w:type="textWrapping"/>
        <w:t xml:space="preserve">[24] J. Johnson et al., “Billion-scale similarity search with FAISS,” in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Proc. IEEE BigData</w:t>
      </w:r>
      <w:r w:rsidDel="00000000" w:rsidR="00000000" w:rsidRPr="00000000">
        <w:rPr>
          <w:rFonts w:ascii="Arial" w:cs="Arial" w:eastAsia="Arial" w:hAnsi="Arial"/>
          <w:rtl w:val="0"/>
        </w:rPr>
        <w:t xml:space="preserve">, 2019.</w:t>
        <w:br w:type="textWrapping"/>
        <w:t xml:space="preserve">[25] S. Robertson and H. Zaragoza, “The probabilistic relevance framework: BM25 and beyond,”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Foundations and Trends in IR</w:t>
      </w:r>
      <w:r w:rsidDel="00000000" w:rsidR="00000000" w:rsidRPr="00000000">
        <w:rPr>
          <w:rFonts w:ascii="Arial" w:cs="Arial" w:eastAsia="Arial" w:hAnsi="Arial"/>
          <w:rtl w:val="0"/>
        </w:rPr>
        <w:t xml:space="preserve">, vol. 3, no. 4, pp. 333–389, 2009.</w:t>
        <w:br w:type="textWrapping"/>
        <w:t xml:space="preserve">[26] J. Leskovec et al., “Mining massive data sets,” Cambridge University Press, 2020 (ch. 5 Text and graph processing).</w:t>
        <w:br w:type="textWrapping"/>
        <w:t xml:space="preserve">[27] Apache Software Foundation, “PySpark documentation,” [Online]. Available: https://spark.apache.org/docs/latest/api/python/.</w:t>
        <w:br w:type="textWrapping"/>
        <w:t xml:space="preserve">[28] M. Raunak et al., “Efficient tokenization and subword augmentation for biomedical text,” arXiv:2305.06751, 2023.</w:t>
        <w:br w:type="textWrapping"/>
        <w:t xml:space="preserve">[29] R. Yao et al., “Data quality validation and profiling for large ETL pipelines,”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Journal of Data and Information Quality</w:t>
      </w:r>
      <w:r w:rsidDel="00000000" w:rsidR="00000000" w:rsidRPr="00000000">
        <w:rPr>
          <w:rFonts w:ascii="Arial" w:cs="Arial" w:eastAsia="Arial" w:hAnsi="Arial"/>
          <w:rtl w:val="0"/>
        </w:rPr>
        <w:t xml:space="preserve">, 2022.</w:t>
        <w:br w:type="textWrapping"/>
        <w:t xml:space="preserve">[30] MLflow Developers, “MLflow: Open source platform for the machine learning lifecycle,” [Online]. Available:</w:t>
      </w:r>
      <w:hyperlink r:id="rId20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https://mlflow.org/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2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lflow.org/" TargetMode="Externa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21" Type="http://schemas.openxmlformats.org/officeDocument/2006/relationships/hyperlink" Target="https://mlflow.org/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13.png"/><Relationship Id="rId17" Type="http://schemas.openxmlformats.org/officeDocument/2006/relationships/image" Target="media/image14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1.png"/><Relationship Id="rId18" Type="http://schemas.openxmlformats.org/officeDocument/2006/relationships/image" Target="media/image12.png"/><Relationship Id="rId7" Type="http://schemas.openxmlformats.org/officeDocument/2006/relationships/image" Target="media/image3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