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1F4E79"/>
          <w:sz w:val="36"/>
          <w:szCs w:val="36"/>
        </w:rPr>
        <w:t xml:space="preserve">Controls and Compliance Checklist</w:t>
      </w:r>
    </w:p>
    <w:p>
      <w:pPr>
        <w:spacing w:after="300"/>
      </w:pPr>
      <w:r>
        <w:rPr>
          <w:rFonts w:ascii="Arial" w:cs="Arial" w:eastAsia="Arial" w:hAnsi="Arial"/>
          <w:i/>
          <w:iCs/>
          <w:color w:val="555555"/>
          <w:sz w:val="22"/>
          <w:szCs w:val="22"/>
        </w:rPr>
        <w:t xml:space="preserve">Botium Toys — Internal Security Audit</w:t>
      </w:r>
    </w:p>
    <w:p>
      <w:pPr>
        <w:spacing w:after="80"/>
      </w:pPr>
      <w:r>
        <w:rPr>
          <w:rFonts w:ascii="Arial" w:cs="Arial" w:eastAsia="Arial" w:hAnsi="Arial"/>
          <w:sz w:val="18"/>
          <w:szCs w:val="18"/>
        </w:rPr>
        <w:t xml:space="preserve">Review: Does Botium Toys currently have this control in place?</w:t>
      </w:r>
    </w:p>
    <w:p>
      <w:pPr>
        <w:spacing w:after="100" w:before="300"/>
      </w:pPr>
      <w:r>
        <w:rPr>
          <w:rFonts w:ascii="Arial" w:cs="Arial" w:eastAsia="Arial" w:hAnsi="Arial"/>
          <w:b/>
          <w:bCs/>
          <w:color w:val="1F4E79"/>
          <w:sz w:val="24"/>
          <w:szCs w:val="24"/>
        </w:rPr>
        <w:t xml:space="preserve">Controls Assessment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6960"/>
      </w:tblGrid>
      <w:tr>
        <w:trPr>
          <w:tblHeader/>
        </w:trPr>
        <w:tc>
          <w:tcPr>
            <w:tcW w:type="dxa" w:w="12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Yes</w:t>
            </w:r>
          </w:p>
        </w:tc>
        <w:tc>
          <w:tcPr>
            <w:tcW w:type="dxa" w:w="12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No</w:t>
            </w:r>
          </w:p>
        </w:tc>
        <w:tc>
          <w:tcPr>
            <w:tcW w:type="dxa" w:w="69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Control</w:t>
            </w:r>
          </w:p>
        </w:tc>
      </w:tr>
      <w:tr>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color w:val="000000"/>
                <w:sz w:val="18"/>
                <w:szCs w:val="18"/>
              </w:rPr>
              <w:t xml:space="preserve"/>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bCs/>
                <w:color w:val="000000"/>
                <w:sz w:val="18"/>
                <w:szCs w:val="18"/>
              </w:rPr>
              <w:t xml:space="preserve">✓ No</w:t>
            </w:r>
          </w:p>
        </w:tc>
        <w:tc>
          <w:tcPr>
            <w:tcW w:type="dxa" w:w="69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color w:val="000000"/>
                <w:sz w:val="18"/>
                <w:szCs w:val="18"/>
              </w:rPr>
              <w:t xml:space="preserve">Least Privilege</w:t>
            </w:r>
          </w:p>
        </w:tc>
      </w:tr>
      <w:tr>
        <w:tc>
          <w:tcPr>
            <w:tcW w:type="dxa" w:w="12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pPr>
              <w:jc w:val="center"/>
            </w:pPr>
            <w:r>
              <w:rPr>
                <w:rFonts w:ascii="Arial" w:cs="Arial" w:eastAsia="Arial" w:hAnsi="Arial"/>
                <w:color w:val="000000"/>
                <w:sz w:val="18"/>
                <w:szCs w:val="18"/>
              </w:rPr>
              <w:t xml:space="preserve"/>
            </w:r>
          </w:p>
        </w:tc>
        <w:tc>
          <w:tcPr>
            <w:tcW w:type="dxa" w:w="12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 No</w:t>
            </w:r>
          </w:p>
        </w:tc>
        <w:tc>
          <w:tcPr>
            <w:tcW w:type="dxa" w:w="696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pPr>
              <w:jc w:val="left"/>
            </w:pPr>
            <w:r>
              <w:rPr>
                <w:rFonts w:ascii="Arial" w:cs="Arial" w:eastAsia="Arial" w:hAnsi="Arial"/>
                <w:color w:val="000000"/>
                <w:sz w:val="18"/>
                <w:szCs w:val="18"/>
              </w:rPr>
              <w:t xml:space="preserve">Disaster recovery plans</w:t>
            </w:r>
          </w:p>
        </w:tc>
      </w:tr>
      <w:tr>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color w:val="000000"/>
                <w:sz w:val="18"/>
                <w:szCs w:val="18"/>
              </w:rPr>
              <w:t xml:space="preserve"/>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bCs/>
                <w:color w:val="000000"/>
                <w:sz w:val="18"/>
                <w:szCs w:val="18"/>
              </w:rPr>
              <w:t xml:space="preserve">✓ No</w:t>
            </w:r>
          </w:p>
        </w:tc>
        <w:tc>
          <w:tcPr>
            <w:tcW w:type="dxa" w:w="69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color w:val="000000"/>
                <w:sz w:val="18"/>
                <w:szCs w:val="18"/>
              </w:rPr>
              <w:t xml:space="preserve">Password policies (adequate/current requirements)</w:t>
            </w:r>
          </w:p>
        </w:tc>
      </w:tr>
      <w:tr>
        <w:tc>
          <w:tcPr>
            <w:tcW w:type="dxa" w:w="12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pPr>
              <w:jc w:val="center"/>
            </w:pPr>
            <w:r>
              <w:rPr>
                <w:rFonts w:ascii="Arial" w:cs="Arial" w:eastAsia="Arial" w:hAnsi="Arial"/>
                <w:color w:val="000000"/>
                <w:sz w:val="18"/>
                <w:szCs w:val="18"/>
              </w:rPr>
              <w:t xml:space="preserve"/>
            </w:r>
          </w:p>
        </w:tc>
        <w:tc>
          <w:tcPr>
            <w:tcW w:type="dxa" w:w="12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 No</w:t>
            </w:r>
          </w:p>
        </w:tc>
        <w:tc>
          <w:tcPr>
            <w:tcW w:type="dxa" w:w="696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pPr>
              <w:jc w:val="left"/>
            </w:pPr>
            <w:r>
              <w:rPr>
                <w:rFonts w:ascii="Arial" w:cs="Arial" w:eastAsia="Arial" w:hAnsi="Arial"/>
                <w:color w:val="000000"/>
                <w:sz w:val="18"/>
                <w:szCs w:val="18"/>
              </w:rPr>
              <w:t xml:space="preserve">Separation of duties</w:t>
            </w:r>
          </w:p>
        </w:tc>
      </w:tr>
      <w:tr>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bCs/>
                <w:color w:val="000000"/>
                <w:sz w:val="18"/>
                <w:szCs w:val="18"/>
              </w:rPr>
              <w:t xml:space="preserve">✓ Yes</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color w:val="000000"/>
                <w:sz w:val="18"/>
                <w:szCs w:val="18"/>
              </w:rPr>
              <w:t xml:space="preserve"/>
            </w:r>
          </w:p>
        </w:tc>
        <w:tc>
          <w:tcPr>
            <w:tcW w:type="dxa" w:w="69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color w:val="000000"/>
                <w:sz w:val="18"/>
                <w:szCs w:val="18"/>
              </w:rPr>
              <w:t xml:space="preserve">Firewall</w:t>
            </w:r>
          </w:p>
        </w:tc>
      </w:tr>
      <w:tr>
        <w:tc>
          <w:tcPr>
            <w:tcW w:type="dxa" w:w="12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pPr>
              <w:jc w:val="center"/>
            </w:pPr>
            <w:r>
              <w:rPr>
                <w:rFonts w:ascii="Arial" w:cs="Arial" w:eastAsia="Arial" w:hAnsi="Arial"/>
                <w:color w:val="000000"/>
                <w:sz w:val="18"/>
                <w:szCs w:val="18"/>
              </w:rPr>
              <w:t xml:space="preserve"/>
            </w:r>
          </w:p>
        </w:tc>
        <w:tc>
          <w:tcPr>
            <w:tcW w:type="dxa" w:w="12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 No</w:t>
            </w:r>
          </w:p>
        </w:tc>
        <w:tc>
          <w:tcPr>
            <w:tcW w:type="dxa" w:w="696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pPr>
              <w:jc w:val="left"/>
            </w:pPr>
            <w:r>
              <w:rPr>
                <w:rFonts w:ascii="Arial" w:cs="Arial" w:eastAsia="Arial" w:hAnsi="Arial"/>
                <w:color w:val="000000"/>
                <w:sz w:val="18"/>
                <w:szCs w:val="18"/>
              </w:rPr>
              <w:t xml:space="preserve">Intrusion detection system (IDS)</w:t>
            </w:r>
          </w:p>
        </w:tc>
      </w:tr>
      <w:tr>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color w:val="000000"/>
                <w:sz w:val="18"/>
                <w:szCs w:val="18"/>
              </w:rPr>
              <w:t xml:space="preserve"/>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bCs/>
                <w:color w:val="000000"/>
                <w:sz w:val="18"/>
                <w:szCs w:val="18"/>
              </w:rPr>
              <w:t xml:space="preserve">✓ No</w:t>
            </w:r>
          </w:p>
        </w:tc>
        <w:tc>
          <w:tcPr>
            <w:tcW w:type="dxa" w:w="69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color w:val="000000"/>
                <w:sz w:val="18"/>
                <w:szCs w:val="18"/>
              </w:rPr>
              <w:t xml:space="preserve">Backups</w:t>
            </w:r>
          </w:p>
        </w:tc>
      </w:tr>
      <w:tr>
        <w:tc>
          <w:tcPr>
            <w:tcW w:type="dxa" w:w="12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 Yes</w:t>
            </w:r>
          </w:p>
        </w:tc>
        <w:tc>
          <w:tcPr>
            <w:tcW w:type="dxa" w:w="12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pPr>
              <w:jc w:val="center"/>
            </w:pPr>
            <w:r>
              <w:rPr>
                <w:rFonts w:ascii="Arial" w:cs="Arial" w:eastAsia="Arial" w:hAnsi="Arial"/>
                <w:color w:val="000000"/>
                <w:sz w:val="18"/>
                <w:szCs w:val="18"/>
              </w:rPr>
              <w:t xml:space="preserve"/>
            </w:r>
          </w:p>
        </w:tc>
        <w:tc>
          <w:tcPr>
            <w:tcW w:type="dxa" w:w="696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pPr>
              <w:jc w:val="left"/>
            </w:pPr>
            <w:r>
              <w:rPr>
                <w:rFonts w:ascii="Arial" w:cs="Arial" w:eastAsia="Arial" w:hAnsi="Arial"/>
                <w:color w:val="000000"/>
                <w:sz w:val="18"/>
                <w:szCs w:val="18"/>
              </w:rPr>
              <w:t xml:space="preserve">Antivirus software</w:t>
            </w:r>
          </w:p>
        </w:tc>
      </w:tr>
      <w:tr>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color w:val="000000"/>
                <w:sz w:val="18"/>
                <w:szCs w:val="18"/>
              </w:rPr>
              <w:t xml:space="preserve"/>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bCs/>
                <w:color w:val="000000"/>
                <w:sz w:val="18"/>
                <w:szCs w:val="18"/>
              </w:rPr>
              <w:t xml:space="preserve">✓ No</w:t>
            </w:r>
          </w:p>
        </w:tc>
        <w:tc>
          <w:tcPr>
            <w:tcW w:type="dxa" w:w="69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color w:val="000000"/>
                <w:sz w:val="18"/>
                <w:szCs w:val="18"/>
              </w:rPr>
              <w:t xml:space="preserve">Manual monitoring, maintenance, and intervention for legacy systems (regular schedule)</w:t>
            </w:r>
          </w:p>
        </w:tc>
      </w:tr>
      <w:tr>
        <w:tc>
          <w:tcPr>
            <w:tcW w:type="dxa" w:w="12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pPr>
              <w:jc w:val="center"/>
            </w:pPr>
            <w:r>
              <w:rPr>
                <w:rFonts w:ascii="Arial" w:cs="Arial" w:eastAsia="Arial" w:hAnsi="Arial"/>
                <w:color w:val="000000"/>
                <w:sz w:val="18"/>
                <w:szCs w:val="18"/>
              </w:rPr>
              <w:t xml:space="preserve"/>
            </w:r>
          </w:p>
        </w:tc>
        <w:tc>
          <w:tcPr>
            <w:tcW w:type="dxa" w:w="12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 No</w:t>
            </w:r>
          </w:p>
        </w:tc>
        <w:tc>
          <w:tcPr>
            <w:tcW w:type="dxa" w:w="696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pPr>
              <w:jc w:val="left"/>
            </w:pPr>
            <w:r>
              <w:rPr>
                <w:rFonts w:ascii="Arial" w:cs="Arial" w:eastAsia="Arial" w:hAnsi="Arial"/>
                <w:color w:val="000000"/>
                <w:sz w:val="18"/>
                <w:szCs w:val="18"/>
              </w:rPr>
              <w:t xml:space="preserve">Encryption</w:t>
            </w:r>
          </w:p>
        </w:tc>
      </w:tr>
      <w:tr>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color w:val="000000"/>
                <w:sz w:val="18"/>
                <w:szCs w:val="18"/>
              </w:rPr>
              <w:t xml:space="preserve"/>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bCs/>
                <w:color w:val="000000"/>
                <w:sz w:val="18"/>
                <w:szCs w:val="18"/>
              </w:rPr>
              <w:t xml:space="preserve">✓ No</w:t>
            </w:r>
          </w:p>
        </w:tc>
        <w:tc>
          <w:tcPr>
            <w:tcW w:type="dxa" w:w="69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color w:val="000000"/>
                <w:sz w:val="18"/>
                <w:szCs w:val="18"/>
              </w:rPr>
              <w:t xml:space="preserve">Password management system</w:t>
            </w:r>
          </w:p>
        </w:tc>
      </w:tr>
      <w:tr>
        <w:tc>
          <w:tcPr>
            <w:tcW w:type="dxa" w:w="12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 Yes</w:t>
            </w:r>
          </w:p>
        </w:tc>
        <w:tc>
          <w:tcPr>
            <w:tcW w:type="dxa" w:w="12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pPr>
              <w:jc w:val="center"/>
            </w:pPr>
            <w:r>
              <w:rPr>
                <w:rFonts w:ascii="Arial" w:cs="Arial" w:eastAsia="Arial" w:hAnsi="Arial"/>
                <w:color w:val="000000"/>
                <w:sz w:val="18"/>
                <w:szCs w:val="18"/>
              </w:rPr>
              <w:t xml:space="preserve"/>
            </w:r>
          </w:p>
        </w:tc>
        <w:tc>
          <w:tcPr>
            <w:tcW w:type="dxa" w:w="696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pPr>
              <w:jc w:val="left"/>
            </w:pPr>
            <w:r>
              <w:rPr>
                <w:rFonts w:ascii="Arial" w:cs="Arial" w:eastAsia="Arial" w:hAnsi="Arial"/>
                <w:color w:val="000000"/>
                <w:sz w:val="18"/>
                <w:szCs w:val="18"/>
              </w:rPr>
              <w:t xml:space="preserve">Locks (offices, storefront, warehouse)</w:t>
            </w:r>
          </w:p>
        </w:tc>
      </w:tr>
      <w:tr>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bCs/>
                <w:color w:val="000000"/>
                <w:sz w:val="18"/>
                <w:szCs w:val="18"/>
              </w:rPr>
              <w:t xml:space="preserve">✓ Yes</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color w:val="000000"/>
                <w:sz w:val="18"/>
                <w:szCs w:val="18"/>
              </w:rPr>
              <w:t xml:space="preserve"/>
            </w:r>
          </w:p>
        </w:tc>
        <w:tc>
          <w:tcPr>
            <w:tcW w:type="dxa" w:w="69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color w:val="000000"/>
                <w:sz w:val="18"/>
                <w:szCs w:val="18"/>
              </w:rPr>
              <w:t xml:space="preserve">Closed-circuit television (CCTV) surveillance</w:t>
            </w:r>
          </w:p>
        </w:tc>
      </w:tr>
      <w:tr>
        <w:tc>
          <w:tcPr>
            <w:tcW w:type="dxa" w:w="12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 Yes</w:t>
            </w:r>
          </w:p>
        </w:tc>
        <w:tc>
          <w:tcPr>
            <w:tcW w:type="dxa" w:w="12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pPr>
              <w:jc w:val="center"/>
            </w:pPr>
            <w:r>
              <w:rPr>
                <w:rFonts w:ascii="Arial" w:cs="Arial" w:eastAsia="Arial" w:hAnsi="Arial"/>
                <w:color w:val="000000"/>
                <w:sz w:val="18"/>
                <w:szCs w:val="18"/>
              </w:rPr>
              <w:t xml:space="preserve"/>
            </w:r>
          </w:p>
        </w:tc>
        <w:tc>
          <w:tcPr>
            <w:tcW w:type="dxa" w:w="696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pPr>
              <w:jc w:val="left"/>
            </w:pPr>
            <w:r>
              <w:rPr>
                <w:rFonts w:ascii="Arial" w:cs="Arial" w:eastAsia="Arial" w:hAnsi="Arial"/>
                <w:color w:val="000000"/>
                <w:sz w:val="18"/>
                <w:szCs w:val="18"/>
              </w:rPr>
              <w:t xml:space="preserve">Fire detection/prevention (fire alarm, sprinkler system, etc.)</w:t>
            </w:r>
          </w:p>
        </w:tc>
      </w:tr>
    </w:tbl>
    <w:p>
      <w:pPr>
        <w:spacing w:after="100" w:before="300"/>
      </w:pPr>
      <w:r>
        <w:rPr>
          <w:rFonts w:ascii="Arial" w:cs="Arial" w:eastAsia="Arial" w:hAnsi="Arial"/>
          <w:b/>
          <w:bCs/>
          <w:color w:val="1F4E79"/>
          <w:sz w:val="24"/>
          <w:szCs w:val="24"/>
        </w:rPr>
        <w:t xml:space="preserve">Compliance Checklist</w:t>
      </w:r>
    </w:p>
    <w:p>
      <w:pPr>
        <w:spacing w:after="80"/>
      </w:pPr>
      <w:r>
        <w:rPr>
          <w:rFonts w:ascii="Arial" w:cs="Arial" w:eastAsia="Arial" w:hAnsi="Arial"/>
          <w:sz w:val="18"/>
          <w:szCs w:val="18"/>
        </w:rPr>
        <w:t xml:space="preserve">Review: Does Botium Toys currently adhere to this compliance best practice?</w:t>
      </w:r>
    </w:p>
    <w:p>
      <w:pPr>
        <w:spacing w:after="80" w:before="200"/>
      </w:pPr>
      <w:r>
        <w:rPr>
          <w:rFonts w:ascii="Arial" w:cs="Arial" w:eastAsia="Arial" w:hAnsi="Arial"/>
          <w:b/>
          <w:bCs/>
          <w:color w:val="2E75B6"/>
          <w:sz w:val="20"/>
          <w:szCs w:val="20"/>
        </w:rPr>
        <w:t xml:space="preserve">Payment Card Industry Data Security Standard (PCI DSS)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6960"/>
      </w:tblGrid>
      <w:tr>
        <w:trPr>
          <w:tblHeader/>
        </w:trPr>
        <w:tc>
          <w:tcPr>
            <w:tcW w:type="dxa" w:w="12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Yes</w:t>
            </w:r>
          </w:p>
        </w:tc>
        <w:tc>
          <w:tcPr>
            <w:tcW w:type="dxa" w:w="12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No</w:t>
            </w:r>
          </w:p>
        </w:tc>
        <w:tc>
          <w:tcPr>
            <w:tcW w:type="dxa" w:w="69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Best Practice</w:t>
            </w:r>
          </w:p>
        </w:tc>
      </w:tr>
      <w:tr>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color w:val="000000"/>
                <w:sz w:val="18"/>
                <w:szCs w:val="18"/>
              </w:rPr>
              <w:t xml:space="preserve"/>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bCs/>
                <w:color w:val="000000"/>
                <w:sz w:val="18"/>
                <w:szCs w:val="18"/>
              </w:rPr>
              <w:t xml:space="preserve">✓ No</w:t>
            </w:r>
          </w:p>
        </w:tc>
        <w:tc>
          <w:tcPr>
            <w:tcW w:type="dxa" w:w="69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color w:val="000000"/>
                <w:sz w:val="18"/>
                <w:szCs w:val="18"/>
              </w:rPr>
              <w:t xml:space="preserve">Only authorized users have access to customers' credit card information.</w:t>
            </w:r>
          </w:p>
        </w:tc>
      </w:tr>
      <w:tr>
        <w:tc>
          <w:tcPr>
            <w:tcW w:type="dxa" w:w="12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pPr>
              <w:jc w:val="center"/>
            </w:pPr>
            <w:r>
              <w:rPr>
                <w:rFonts w:ascii="Arial" w:cs="Arial" w:eastAsia="Arial" w:hAnsi="Arial"/>
                <w:color w:val="000000"/>
                <w:sz w:val="18"/>
                <w:szCs w:val="18"/>
              </w:rPr>
              <w:t xml:space="preserve"/>
            </w:r>
          </w:p>
        </w:tc>
        <w:tc>
          <w:tcPr>
            <w:tcW w:type="dxa" w:w="12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 No</w:t>
            </w:r>
          </w:p>
        </w:tc>
        <w:tc>
          <w:tcPr>
            <w:tcW w:type="dxa" w:w="696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pPr>
              <w:jc w:val="left"/>
            </w:pPr>
            <w:r>
              <w:rPr>
                <w:rFonts w:ascii="Arial" w:cs="Arial" w:eastAsia="Arial" w:hAnsi="Arial"/>
                <w:color w:val="000000"/>
                <w:sz w:val="18"/>
                <w:szCs w:val="18"/>
              </w:rPr>
              <w:t xml:space="preserve">Credit card information is stored, accepted, processed, and transmitted internally, in a secure environment.</w:t>
            </w:r>
          </w:p>
        </w:tc>
      </w:tr>
      <w:tr>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color w:val="000000"/>
                <w:sz w:val="18"/>
                <w:szCs w:val="18"/>
              </w:rPr>
              <w:t xml:space="preserve"/>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bCs/>
                <w:color w:val="000000"/>
                <w:sz w:val="18"/>
                <w:szCs w:val="18"/>
              </w:rPr>
              <w:t xml:space="preserve">✓ No</w:t>
            </w:r>
          </w:p>
        </w:tc>
        <w:tc>
          <w:tcPr>
            <w:tcW w:type="dxa" w:w="69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color w:val="000000"/>
                <w:sz w:val="18"/>
                <w:szCs w:val="18"/>
              </w:rPr>
              <w:t xml:space="preserve">Implement data encryption procedures to better secure credit card transaction touchpoints and data.</w:t>
            </w:r>
          </w:p>
        </w:tc>
      </w:tr>
      <w:tr>
        <w:tc>
          <w:tcPr>
            <w:tcW w:type="dxa" w:w="12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pPr>
              <w:jc w:val="center"/>
            </w:pPr>
            <w:r>
              <w:rPr>
                <w:rFonts w:ascii="Arial" w:cs="Arial" w:eastAsia="Arial" w:hAnsi="Arial"/>
                <w:color w:val="000000"/>
                <w:sz w:val="18"/>
                <w:szCs w:val="18"/>
              </w:rPr>
              <w:t xml:space="preserve"/>
            </w:r>
          </w:p>
        </w:tc>
        <w:tc>
          <w:tcPr>
            <w:tcW w:type="dxa" w:w="12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 No</w:t>
            </w:r>
          </w:p>
        </w:tc>
        <w:tc>
          <w:tcPr>
            <w:tcW w:type="dxa" w:w="696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pPr>
              <w:jc w:val="left"/>
            </w:pPr>
            <w:r>
              <w:rPr>
                <w:rFonts w:ascii="Arial" w:cs="Arial" w:eastAsia="Arial" w:hAnsi="Arial"/>
                <w:color w:val="000000"/>
                <w:sz w:val="18"/>
                <w:szCs w:val="18"/>
              </w:rPr>
              <w:t xml:space="preserve">Adopt secure password management policies.</w:t>
            </w:r>
          </w:p>
        </w:tc>
      </w:tr>
    </w:tbl>
    <w:p>
      <w:pPr>
        <w:spacing w:after="80" w:before="200"/>
      </w:pPr>
      <w:r>
        <w:rPr>
          <w:rFonts w:ascii="Arial" w:cs="Arial" w:eastAsia="Arial" w:hAnsi="Arial"/>
          <w:b/>
          <w:bCs/>
          <w:color w:val="2E75B6"/>
          <w:sz w:val="20"/>
          <w:szCs w:val="20"/>
        </w:rPr>
        <w:t xml:space="preserve">General Data Protection Regulation (GDPR)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6960"/>
      </w:tblGrid>
      <w:tr>
        <w:trPr>
          <w:tblHeader/>
        </w:trPr>
        <w:tc>
          <w:tcPr>
            <w:tcW w:type="dxa" w:w="12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Yes</w:t>
            </w:r>
          </w:p>
        </w:tc>
        <w:tc>
          <w:tcPr>
            <w:tcW w:type="dxa" w:w="12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No</w:t>
            </w:r>
          </w:p>
        </w:tc>
        <w:tc>
          <w:tcPr>
            <w:tcW w:type="dxa" w:w="69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Best Practice</w:t>
            </w:r>
          </w:p>
        </w:tc>
      </w:tr>
      <w:tr>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color w:val="000000"/>
                <w:sz w:val="18"/>
                <w:szCs w:val="18"/>
              </w:rPr>
              <w:t xml:space="preserve"/>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bCs/>
                <w:color w:val="000000"/>
                <w:sz w:val="18"/>
                <w:szCs w:val="18"/>
              </w:rPr>
              <w:t xml:space="preserve">✓ No</w:t>
            </w:r>
          </w:p>
        </w:tc>
        <w:tc>
          <w:tcPr>
            <w:tcW w:type="dxa" w:w="69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color w:val="000000"/>
                <w:sz w:val="18"/>
                <w:szCs w:val="18"/>
              </w:rPr>
              <w:t xml:space="preserve">E.U. customers' data is kept private/secured.</w:t>
            </w:r>
          </w:p>
        </w:tc>
      </w:tr>
      <w:tr>
        <w:tc>
          <w:tcPr>
            <w:tcW w:type="dxa" w:w="12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 Yes</w:t>
            </w:r>
          </w:p>
        </w:tc>
        <w:tc>
          <w:tcPr>
            <w:tcW w:type="dxa" w:w="12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pPr>
              <w:jc w:val="center"/>
            </w:pPr>
            <w:r>
              <w:rPr>
                <w:rFonts w:ascii="Arial" w:cs="Arial" w:eastAsia="Arial" w:hAnsi="Arial"/>
                <w:color w:val="000000"/>
                <w:sz w:val="18"/>
                <w:szCs w:val="18"/>
              </w:rPr>
              <w:t xml:space="preserve"/>
            </w:r>
          </w:p>
        </w:tc>
        <w:tc>
          <w:tcPr>
            <w:tcW w:type="dxa" w:w="696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pPr>
              <w:jc w:val="left"/>
            </w:pPr>
            <w:r>
              <w:rPr>
                <w:rFonts w:ascii="Arial" w:cs="Arial" w:eastAsia="Arial" w:hAnsi="Arial"/>
                <w:color w:val="000000"/>
                <w:sz w:val="18"/>
                <w:szCs w:val="18"/>
              </w:rPr>
              <w:t xml:space="preserve">There is a plan in place to notify E.U. customers within 72 hours if their data is compromised/there is a breach.</w:t>
            </w:r>
          </w:p>
        </w:tc>
      </w:tr>
      <w:tr>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color w:val="000000"/>
                <w:sz w:val="18"/>
                <w:szCs w:val="18"/>
              </w:rPr>
              <w:t xml:space="preserve"/>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bCs/>
                <w:color w:val="000000"/>
                <w:sz w:val="18"/>
                <w:szCs w:val="18"/>
              </w:rPr>
              <w:t xml:space="preserve">✓ No</w:t>
            </w:r>
          </w:p>
        </w:tc>
        <w:tc>
          <w:tcPr>
            <w:tcW w:type="dxa" w:w="69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color w:val="000000"/>
                <w:sz w:val="18"/>
                <w:szCs w:val="18"/>
              </w:rPr>
              <w:t xml:space="preserve">Ensure data is properly classified and inventoried.</w:t>
            </w:r>
          </w:p>
        </w:tc>
      </w:tr>
      <w:tr>
        <w:tc>
          <w:tcPr>
            <w:tcW w:type="dxa" w:w="12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 Yes</w:t>
            </w:r>
          </w:p>
        </w:tc>
        <w:tc>
          <w:tcPr>
            <w:tcW w:type="dxa" w:w="12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pPr>
              <w:jc w:val="center"/>
            </w:pPr>
            <w:r>
              <w:rPr>
                <w:rFonts w:ascii="Arial" w:cs="Arial" w:eastAsia="Arial" w:hAnsi="Arial"/>
                <w:color w:val="000000"/>
                <w:sz w:val="18"/>
                <w:szCs w:val="18"/>
              </w:rPr>
              <w:t xml:space="preserve"/>
            </w:r>
          </w:p>
        </w:tc>
        <w:tc>
          <w:tcPr>
            <w:tcW w:type="dxa" w:w="696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pPr>
              <w:jc w:val="left"/>
            </w:pPr>
            <w:r>
              <w:rPr>
                <w:rFonts w:ascii="Arial" w:cs="Arial" w:eastAsia="Arial" w:hAnsi="Arial"/>
                <w:color w:val="000000"/>
                <w:sz w:val="18"/>
                <w:szCs w:val="18"/>
              </w:rPr>
              <w:t xml:space="preserve">Enforce privacy policies, procedures, and processes to properly document and maintain data.</w:t>
            </w:r>
          </w:p>
        </w:tc>
      </w:tr>
    </w:tbl>
    <w:p>
      <w:pPr>
        <w:spacing w:after="80" w:before="200"/>
      </w:pPr>
      <w:r>
        <w:rPr>
          <w:rFonts w:ascii="Arial" w:cs="Arial" w:eastAsia="Arial" w:hAnsi="Arial"/>
          <w:b/>
          <w:bCs/>
          <w:color w:val="2E75B6"/>
          <w:sz w:val="20"/>
          <w:szCs w:val="20"/>
        </w:rPr>
        <w:t xml:space="preserve">System and Organizations Controls (SOC type 1, SOC type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6960"/>
      </w:tblGrid>
      <w:tr>
        <w:trPr>
          <w:tblHeader/>
        </w:trPr>
        <w:tc>
          <w:tcPr>
            <w:tcW w:type="dxa" w:w="12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Yes</w:t>
            </w:r>
          </w:p>
        </w:tc>
        <w:tc>
          <w:tcPr>
            <w:tcW w:type="dxa" w:w="12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No</w:t>
            </w:r>
          </w:p>
        </w:tc>
        <w:tc>
          <w:tcPr>
            <w:tcW w:type="dxa" w:w="69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Best Practice</w:t>
            </w:r>
          </w:p>
        </w:tc>
      </w:tr>
      <w:tr>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color w:val="000000"/>
                <w:sz w:val="18"/>
                <w:szCs w:val="18"/>
              </w:rPr>
              <w:t xml:space="preserve"/>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bCs/>
                <w:color w:val="000000"/>
                <w:sz w:val="18"/>
                <w:szCs w:val="18"/>
              </w:rPr>
              <w:t xml:space="preserve">✓ No</w:t>
            </w:r>
          </w:p>
        </w:tc>
        <w:tc>
          <w:tcPr>
            <w:tcW w:type="dxa" w:w="69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color w:val="000000"/>
                <w:sz w:val="18"/>
                <w:szCs w:val="18"/>
              </w:rPr>
              <w:t xml:space="preserve">User access policies are established.</w:t>
            </w:r>
          </w:p>
        </w:tc>
      </w:tr>
      <w:tr>
        <w:tc>
          <w:tcPr>
            <w:tcW w:type="dxa" w:w="12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pPr>
              <w:jc w:val="center"/>
            </w:pPr>
            <w:r>
              <w:rPr>
                <w:rFonts w:ascii="Arial" w:cs="Arial" w:eastAsia="Arial" w:hAnsi="Arial"/>
                <w:color w:val="000000"/>
                <w:sz w:val="18"/>
                <w:szCs w:val="18"/>
              </w:rPr>
              <w:t xml:space="preserve"/>
            </w:r>
          </w:p>
        </w:tc>
        <w:tc>
          <w:tcPr>
            <w:tcW w:type="dxa" w:w="12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 No</w:t>
            </w:r>
          </w:p>
        </w:tc>
        <w:tc>
          <w:tcPr>
            <w:tcW w:type="dxa" w:w="696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pPr>
              <w:jc w:val="left"/>
            </w:pPr>
            <w:r>
              <w:rPr>
                <w:rFonts w:ascii="Arial" w:cs="Arial" w:eastAsia="Arial" w:hAnsi="Arial"/>
                <w:color w:val="000000"/>
                <w:sz w:val="18"/>
                <w:szCs w:val="18"/>
              </w:rPr>
              <w:t xml:space="preserve">Sensitive data (PII/SPII) is confidential/private.</w:t>
            </w:r>
          </w:p>
        </w:tc>
      </w:tr>
      <w:tr>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bCs/>
                <w:color w:val="000000"/>
                <w:sz w:val="18"/>
                <w:szCs w:val="18"/>
              </w:rPr>
              <w:t xml:space="preserve">✓ Yes</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color w:val="000000"/>
                <w:sz w:val="18"/>
                <w:szCs w:val="18"/>
              </w:rPr>
              <w:t xml:space="preserve"/>
            </w:r>
          </w:p>
        </w:tc>
        <w:tc>
          <w:tcPr>
            <w:tcW w:type="dxa" w:w="69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color w:val="000000"/>
                <w:sz w:val="18"/>
                <w:szCs w:val="18"/>
              </w:rPr>
              <w:t xml:space="preserve">Data integrity ensures the data is consistent, complete, accurate, and has been validated.</w:t>
            </w:r>
          </w:p>
        </w:tc>
      </w:tr>
      <w:tr>
        <w:tc>
          <w:tcPr>
            <w:tcW w:type="dxa" w:w="12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 Yes</w:t>
            </w:r>
          </w:p>
        </w:tc>
        <w:tc>
          <w:tcPr>
            <w:tcW w:type="dxa" w:w="12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pPr>
              <w:jc w:val="center"/>
            </w:pPr>
            <w:r>
              <w:rPr>
                <w:rFonts w:ascii="Arial" w:cs="Arial" w:eastAsia="Arial" w:hAnsi="Arial"/>
                <w:color w:val="000000"/>
                <w:sz w:val="18"/>
                <w:szCs w:val="18"/>
              </w:rPr>
              <w:t xml:space="preserve"/>
            </w:r>
          </w:p>
        </w:tc>
        <w:tc>
          <w:tcPr>
            <w:tcW w:type="dxa" w:w="696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pPr>
              <w:jc w:val="left"/>
            </w:pPr>
            <w:r>
              <w:rPr>
                <w:rFonts w:ascii="Arial" w:cs="Arial" w:eastAsia="Arial" w:hAnsi="Arial"/>
                <w:color w:val="000000"/>
                <w:sz w:val="18"/>
                <w:szCs w:val="18"/>
              </w:rPr>
              <w:t xml:space="preserve">Data is available to individuals authorized to access it.</w:t>
            </w:r>
          </w:p>
        </w:tc>
      </w:tr>
    </w:tbl>
    <w:p>
      <w:pPr>
        <w:spacing w:after="100" w:before="300"/>
      </w:pPr>
      <w:r>
        <w:rPr>
          <w:rFonts w:ascii="Arial" w:cs="Arial" w:eastAsia="Arial" w:hAnsi="Arial"/>
          <w:b/>
          <w:bCs/>
          <w:color w:val="1F4E79"/>
          <w:sz w:val="24"/>
          <w:szCs w:val="24"/>
        </w:rPr>
        <w:t xml:space="preserve">Recommendations to IT Manager</w:t>
      </w:r>
    </w:p>
    <w:p>
      <w:pPr>
        <w:spacing w:after="100" w:before="100"/>
      </w:pPr>
      <w:r>
        <w:rPr>
          <w:rFonts w:ascii="Arial" w:cs="Arial" w:eastAsia="Arial" w:hAnsi="Arial"/>
          <w:sz w:val="18"/>
          <w:szCs w:val="18"/>
        </w:rPr>
        <w:t xml:space="preserve">Based on the audit findings, Botium Toys faces significant security and compliance gaps that require urgent remediation. The following priority actions are recommended:</w:t>
      </w:r>
    </w:p>
    <w:p>
      <w:pPr>
        <w:spacing w:after="60" w:before="120"/>
      </w:pPr>
      <w:r>
        <w:rPr>
          <w:rFonts w:ascii="Arial" w:cs="Arial" w:eastAsia="Arial" w:hAnsi="Arial"/>
          <w:b/>
          <w:bCs/>
          <w:color w:val="C00000"/>
          <w:sz w:val="18"/>
          <w:szCs w:val="18"/>
        </w:rPr>
        <w:t xml:space="preserve">1. Implement Least Privilege and Separation of Duties (Critical)</w:t>
      </w:r>
    </w:p>
    <w:p>
      <w:pPr>
        <w:spacing w:after="80"/>
      </w:pPr>
      <w:r>
        <w:rPr>
          <w:rFonts w:ascii="Arial" w:cs="Arial" w:eastAsia="Arial" w:hAnsi="Arial"/>
          <w:sz w:val="18"/>
          <w:szCs w:val="18"/>
        </w:rPr>
        <w:t xml:space="preserve">All employees currently have access to internally stored data, including cardholder data and PII/SPII. Access must be restricted immediately on a need-to-know basis with role-based access controls and separation of duties enforced across sensitive functions.</w:t>
      </w:r>
    </w:p>
    <w:p>
      <w:pPr>
        <w:spacing w:after="60" w:before="120"/>
      </w:pPr>
      <w:r>
        <w:rPr>
          <w:rFonts w:ascii="Arial" w:cs="Arial" w:eastAsia="Arial" w:hAnsi="Arial"/>
          <w:b/>
          <w:bCs/>
          <w:color w:val="C00000"/>
          <w:sz w:val="18"/>
          <w:szCs w:val="18"/>
        </w:rPr>
        <w:t xml:space="preserve">2. Encrypt Sensitive Data — Credit Card &amp; PII (Critical)</w:t>
      </w:r>
    </w:p>
    <w:p>
      <w:pPr>
        <w:spacing w:after="80"/>
      </w:pPr>
      <w:r>
        <w:rPr>
          <w:rFonts w:ascii="Arial" w:cs="Arial" w:eastAsia="Arial" w:hAnsi="Arial"/>
          <w:sz w:val="18"/>
          <w:szCs w:val="18"/>
        </w:rPr>
        <w:t xml:space="preserve">No encryption is in place for credit card information stored, processed, or transmitted internally. This violates PCI DSS requirements and poses an extremely high risk of data breach and regulatory fines. Encryption should be implemented across all cardholder data touchpoints immediately.</w:t>
      </w:r>
    </w:p>
    <w:p>
      <w:pPr>
        <w:spacing w:after="60" w:before="120"/>
      </w:pPr>
      <w:r>
        <w:rPr>
          <w:rFonts w:ascii="Arial" w:cs="Arial" w:eastAsia="Arial" w:hAnsi="Arial"/>
          <w:b/>
          <w:bCs/>
          <w:color w:val="D06000"/>
          <w:sz w:val="18"/>
          <w:szCs w:val="18"/>
        </w:rPr>
        <w:t xml:space="preserve">3. Establish Disaster Recovery Plans and Data Backups (High)</w:t>
      </w:r>
    </w:p>
    <w:p>
      <w:pPr>
        <w:spacing w:after="80"/>
      </w:pPr>
      <w:r>
        <w:rPr>
          <w:rFonts w:ascii="Arial" w:cs="Arial" w:eastAsia="Arial" w:hAnsi="Arial"/>
          <w:sz w:val="18"/>
          <w:szCs w:val="18"/>
        </w:rPr>
        <w:t xml:space="preserve">There are no disaster recovery plans or critical data backups in place. A business continuity and disaster recovery plan, along with automated encrypted backups, must be developed and tested to ensure resilience against ransomware, hardware failure, or natural disaster.</w:t>
      </w:r>
    </w:p>
    <w:p>
      <w:pPr>
        <w:spacing w:after="60" w:before="120"/>
      </w:pPr>
      <w:r>
        <w:rPr>
          <w:rFonts w:ascii="Arial" w:cs="Arial" w:eastAsia="Arial" w:hAnsi="Arial"/>
          <w:b/>
          <w:bCs/>
          <w:color w:val="D06000"/>
          <w:sz w:val="18"/>
          <w:szCs w:val="18"/>
        </w:rPr>
        <w:t xml:space="preserve">4. Install an Intrusion Detection System (IDS) (High)</w:t>
      </w:r>
    </w:p>
    <w:p>
      <w:pPr>
        <w:spacing w:after="80"/>
      </w:pPr>
      <w:r>
        <w:rPr>
          <w:rFonts w:ascii="Arial" w:cs="Arial" w:eastAsia="Arial" w:hAnsi="Arial"/>
          <w:sz w:val="18"/>
          <w:szCs w:val="18"/>
        </w:rPr>
        <w:t xml:space="preserve">The IT department lacks an IDS, leaving the network unable to detect anomalous or malicious traffic. An IDS should be deployed to complement the existing firewall and antivirus tools and provide visibility into potential intrusions.</w:t>
      </w:r>
    </w:p>
    <w:p>
      <w:pPr>
        <w:spacing w:after="60" w:before="120"/>
      </w:pPr>
      <w:r>
        <w:rPr>
          <w:rFonts w:ascii="Arial" w:cs="Arial" w:eastAsia="Arial" w:hAnsi="Arial"/>
          <w:b/>
          <w:bCs/>
          <w:color w:val="D06000"/>
          <w:sz w:val="18"/>
          <w:szCs w:val="18"/>
        </w:rPr>
        <w:t xml:space="preserve">5. Strengthen Password Policies and Deploy a Password Management System (High)</w:t>
      </w:r>
    </w:p>
    <w:p>
      <w:pPr>
        <w:spacing w:after="80"/>
      </w:pPr>
      <w:r>
        <w:rPr>
          <w:rFonts w:ascii="Arial" w:cs="Arial" w:eastAsia="Arial" w:hAnsi="Arial"/>
          <w:sz w:val="18"/>
          <w:szCs w:val="18"/>
        </w:rPr>
        <w:t xml:space="preserve">Current password requirements are weak and not enforced centrally. A password management system aligned with current complexity standards (minimum 8 characters, mixed case, numbers, special characters) should be deployed to reduce the risk of account compromise and reduce IT helpdesk burden.</w:t>
      </w:r>
    </w:p>
    <w:p>
      <w:pPr>
        <w:spacing w:after="60" w:before="120"/>
      </w:pPr>
      <w:r>
        <w:rPr>
          <w:rFonts w:ascii="Arial" w:cs="Arial" w:eastAsia="Arial" w:hAnsi="Arial"/>
          <w:b/>
          <w:bCs/>
          <w:color w:val="7F6000"/>
          <w:sz w:val="18"/>
          <w:szCs w:val="18"/>
        </w:rPr>
        <w:t xml:space="preserve">6. Formalize Legacy System Monitoring Schedule (Medium)</w:t>
      </w:r>
    </w:p>
    <w:p>
      <w:pPr>
        <w:spacing w:after="80"/>
      </w:pPr>
      <w:r>
        <w:rPr>
          <w:rFonts w:ascii="Arial" w:cs="Arial" w:eastAsia="Arial" w:hAnsi="Arial"/>
          <w:sz w:val="18"/>
          <w:szCs w:val="18"/>
        </w:rPr>
        <w:t xml:space="preserve">Legacy systems are monitored inconsistently with no formal schedule or clear intervention procedures. A documented maintenance schedule and escalation process should be established to reduce risk from end-of-life system vulnerabilities.</w:t>
      </w:r>
    </w:p>
    <w:p>
      <w:pPr>
        <w:spacing w:after="60" w:before="120"/>
      </w:pPr>
      <w:r>
        <w:rPr>
          <w:rFonts w:ascii="Arial" w:cs="Arial" w:eastAsia="Arial" w:hAnsi="Arial"/>
          <w:b/>
          <w:bCs/>
          <w:color w:val="7F6000"/>
          <w:sz w:val="18"/>
          <w:szCs w:val="18"/>
        </w:rPr>
        <w:t xml:space="preserve">7. Classify and Inventory All Assets (Medium)</w:t>
      </w:r>
    </w:p>
    <w:p>
      <w:pPr>
        <w:spacing w:after="80"/>
      </w:pPr>
      <w:r>
        <w:rPr>
          <w:rFonts w:ascii="Arial" w:cs="Arial" w:eastAsia="Arial" w:hAnsi="Arial"/>
          <w:sz w:val="18"/>
          <w:szCs w:val="18"/>
        </w:rPr>
        <w:t xml:space="preserve">Per GDPR and the NIST CSF Identify function, all data and assets must be properly classified and inventoried. This will allow the organization to understand what data is at risk, apply appropriate controls, and meet regulatory obligations for data governance.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2026-06-08T21:21:00.162Z</dcterms:created>
  <dcterms:modified xsi:type="dcterms:W3CDTF">2026-06-08T21:21:00.162Z</dcterms:modified>
</cp:coreProperties>
</file>

<file path=docProps/custom.xml><?xml version="1.0" encoding="utf-8"?>
<Properties xmlns="http://schemas.openxmlformats.org/officeDocument/2006/custom-properties" xmlns:vt="http://schemas.openxmlformats.org/officeDocument/2006/docPropsVTypes"/>
</file>