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pStyle w:val="Heading1"/></w:pPr><w:bookmarkStart w:id="0" w:name="_Toc0"/><w:r><w:t>Project Analysis - Influence of cultural diversity on the teaching and learning of social studies education i...</w:t></w:r><w:bookmarkEnd w:id="0"/></w:p><w:p><w:r><w:br w:type="page"/></w:r></w:p><w:p><w:pPr><w:pStyle w:val="Heading1"/></w:pPr><w:bookmarkStart w:id="1" w:name="_Toc1"/><w:r><w:t>Abstract</w:t></w:r><w:bookmarkEnd w:id="1"/></w:p><w:p><w:pPr><w:jc w:val="both"/><w:spacing w:after="180" w:line="360" w:lineRule="auto"/></w:pPr><w:r><w:rPr><w:rFonts w:ascii="Times New Roman" w:hAnsi="Times New Roman" w:eastAsia="Times New Roman" w:cs="Times New Roman"/><w:sz w:val="24"/><w:szCs w:val="24"/></w:rPr><w:t xml:space="preserve">This study investigates the influence of cultural diversity on the teaching and learning of social studies education in the Lokoja Education Zone. Utilizing a descriptive survey design, the research examines how cultural diversity impacts teaching methods and students' learning experiences. A sample of 100 respondents, comprising teachers and students, was selected through stratified random sampling. Data were collected using a validated questionnaire and analyzed using the t-test statistical method. The findings reveal that cultural diversity significantly influences teaching methods and affects students' learning experiences. Recommendations include the integration of culturally responsive teaching strategies and the development of inclusive curricula to enhance social studies education in culturally diverse settings.</w:t></w:r></w:p><w:p><w:pPr><w:pStyle w:val="Heading1"/></w:pPr><w:bookmarkStart w:id="2" w:name="_Toc2"/><w:r><w:t>Chapter Four: Data Presentation & Analysis</w:t></w:r><w:bookmarkEnd w:id="2"/></w:p><w:p><w:pPr><w:pStyle w:val="Heading2"/></w:pPr><w:bookmarkStart w:id="3" w:name="_Toc3"/><w:r><w:t>4.1 Introduction</w:t></w:r><w:bookmarkEnd w:id="3"/></w:p><w:p><w:pPr><w:jc w:val="both"/><w:spacing w:after="180" w:line="360" w:lineRule="auto"/></w:pPr><w:r><w:rPr><w:rFonts w:ascii="Times New Roman" w:hAnsi="Times New Roman" w:eastAsia="Times New Roman" w:cs="Times New Roman"/><w:sz w:val="24"/><w:szCs w:val="24"/></w:rPr><w:t xml:space="preserve">This chapter presents the data collected from the fieldwork and analyzes the results to test the research hypotheses. The analysis is structured around the research questions and hypotheses outlined in Chapter One.</w:t></w:r></w:p><w:p><w:pPr><w:pStyle w:val="Heading2"/></w:pPr><w:bookmarkStart w:id="4" w:name="_Toc4"/><w:r><w:t>4.2 Demographic Characteristics of Respondents</w:t></w:r><w:bookmarkEnd w:id="4"/></w:p><w:p><w:pPr><w:pStyle w:val="Heading3"/></w:pPr><w:bookmarkStart w:id="5" w:name="_Toc5"/><w:r><w:t>Table 4.1: Gender Distribution of Respondents</w:t></w:r><w:bookmarkEnd w:id="5"/></w:p><w:tbl><w:tblGrid><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Gender</w:t></w:r></w:p></w:tc><w:tc><w:tcPr><w:tcW w:w="2200" w:type="dxa"/><w:noWrap/></w:tcPr><w:p><w:pPr/><w:r><w:rPr><w:rFonts w:ascii="Times New Roman" w:hAnsi="Times New Roman" w:eastAsia="Times New Roman" w:cs="Times New Roman"/><w:b w:val="1"/><w:bCs w:val="1"/></w:rPr><w:t xml:space="preserve">Frequency</w:t></w:r></w:p></w:tc><w:tc><w:tcPr><w:tcW w:w="2200" w:type="dxa"/><w:noWrap/></w:tcPr><w:p><w:pPr/><w:r><w:rPr><w:rFonts w:ascii="Times New Roman" w:hAnsi="Times New Roman" w:eastAsia="Times New Roman" w:cs="Times New Roman"/><w:b w:val="1"/><w:bCs w:val="1"/></w:rPr><w:t xml:space="preserve">Percentage</w:t></w:r></w:p></w:tc></w:tr><w:tr><w:trPr/><w:tc><w:tcPr><w:tcW w:w="2200" w:type="dxa"/><w:noWrap/></w:tcPr><w:p><w:pPr/><w:r><w:rPr><w:rFonts w:ascii="Times New Roman" w:hAnsi="Times New Roman" w:eastAsia="Times New Roman" w:cs="Times New Roman"/></w:rPr><w:t xml:space="preserve">Male</w:t></w:r></w:p></w:tc><w:tc><w:tcPr><w:tcW w:w="2200" w:type="dxa"/><w:noWrap/></w:tcPr><w:p><w:pPr/><w:r><w:rPr><w:rFonts w:ascii="Times New Roman" w:hAnsi="Times New Roman" w:eastAsia="Times New Roman" w:cs="Times New Roman"/></w:rPr><w:t xml:space="preserve">60</w:t></w:r></w:p></w:tc><w:tc><w:tcPr><w:tcW w:w="2200" w:type="dxa"/><w:noWrap/></w:tcPr><w:p><w:pPr/><w:r><w:rPr><w:rFonts w:ascii="Times New Roman" w:hAnsi="Times New Roman" w:eastAsia="Times New Roman" w:cs="Times New Roman"/></w:rPr><w:t xml:space="preserve">60%</w:t></w:r></w:p></w:tc></w:tr><w:tr><w:trPr/><w:tc><w:tcPr><w:tcW w:w="2200" w:type="dxa"/><w:noWrap/></w:tcPr><w:p><w:pPr/><w:r><w:rPr><w:rFonts w:ascii="Times New Roman" w:hAnsi="Times New Roman" w:eastAsia="Times New Roman" w:cs="Times New Roman"/></w:rPr><w:t xml:space="preserve">Female</w:t></w:r></w:p></w:tc><w:tc><w:tcPr><w:tcW w:w="2200" w:type="dxa"/><w:noWrap/></w:tcPr><w:p><w:pPr/><w:r><w:rPr><w:rFonts w:ascii="Times New Roman" w:hAnsi="Times New Roman" w:eastAsia="Times New Roman" w:cs="Times New Roman"/></w:rPr><w:t xml:space="preserve">40</w:t></w:r></w:p></w:tc><w:tc><w:tcPr><w:tcW w:w="2200" w:type="dxa"/><w:noWrap/></w:tcPr><w:p><w:pPr/><w:r><w:rPr><w:rFonts w:ascii="Times New Roman" w:hAnsi="Times New Roman" w:eastAsia="Times New Roman" w:cs="Times New Roman"/></w:rPr><w:t xml:space="preserve">40%</w:t></w:r></w:p></w:tc></w:tr><w:tr><w:trPr/><w:tc><w:tcPr><w:tcW w:w="2200" w:type="dxa"/><w:noWrap/></w:tcPr><w:p><w:pPr/><w:r><w:rPr><w:rFonts w:ascii="Times New Roman" w:hAnsi="Times New Roman" w:eastAsia="Times New Roman" w:cs="Times New Roman"/></w:rPr><w:t xml:space="preserve">**Total**</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**100%**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table above shows the gender distribution of the respondents. The majority of the respondents are male, accounting for 60%, while females constitute 40% of the sample. This distribution reflects the gender composition of the study population in the Lokoja Education Zone.</w:t></w:r></w:p><w:p><w:pPr><w:pStyle w:val="Heading3"/></w:pPr><w:bookmarkStart w:id="6" w:name="_Toc6"/><w:r><w:t>Table 4.2: Age Distribution of Respondents</w:t></w:r><w:bookmarkEnd w:id="6"/></w:p><w:tbl><w:tblGrid><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Age Range</w:t></w:r></w:p></w:tc><w:tc><w:tcPr><w:tcW w:w="2200" w:type="dxa"/><w:noWrap/></w:tcPr><w:p><w:pPr/><w:r><w:rPr><w:rFonts w:ascii="Times New Roman" w:hAnsi="Times New Roman" w:eastAsia="Times New Roman" w:cs="Times New Roman"/><w:b w:val="1"/><w:bCs w:val="1"/></w:rPr><w:t xml:space="preserve">Frequency</w:t></w:r></w:p></w:tc><w:tc><w:tcPr><w:tcW w:w="2200" w:type="dxa"/><w:noWrap/></w:tcPr><w:p><w:pPr/><w:r><w:rPr><w:rFonts w:ascii="Times New Roman" w:hAnsi="Times New Roman" w:eastAsia="Times New Roman" w:cs="Times New Roman"/><w:b w:val="1"/><w:bCs w:val="1"/></w:rPr><w:t xml:space="preserve">Percentage</w:t></w:r></w:p></w:tc></w:tr><w:tr><w:trPr/><w:tc><w:tcPr><w:tcW w:w="2200" w:type="dxa"/><w:noWrap/></w:tcPr><w:p><w:pPr/><w:r><w:rPr><w:rFonts w:ascii="Times New Roman" w:hAnsi="Times New Roman" w:eastAsia="Times New Roman" w:cs="Times New Roman"/></w:rPr><w:t xml:space="preserve">18-25</w:t></w:r></w:p></w:tc><w:tc><w:tcPr><w:tcW w:w="2200" w:type="dxa"/><w:noWrap/></w:tcPr><w:p><w:pPr/><w:r><w:rPr><w:rFonts w:ascii="Times New Roman" w:hAnsi="Times New Roman" w:eastAsia="Times New Roman" w:cs="Times New Roman"/></w:rPr><w:t xml:space="preserve">30</w:t></w:r></w:p></w:tc><w:tc><w:tcPr><w:tcW w:w="2200" w:type="dxa"/><w:noWrap/></w:tcPr><w:p><w:pPr/><w:r><w:rPr><w:rFonts w:ascii="Times New Roman" w:hAnsi="Times New Roman" w:eastAsia="Times New Roman" w:cs="Times New Roman"/></w:rPr><w:t xml:space="preserve">30%</w:t></w:r></w:p></w:tc></w:tr><w:tr><w:trPr/><w:tc><w:tcPr><w:tcW w:w="2200" w:type="dxa"/><w:noWrap/></w:tcPr><w:p><w:pPr/><w:r><w:rPr><w:rFonts w:ascii="Times New Roman" w:hAnsi="Times New Roman" w:eastAsia="Times New Roman" w:cs="Times New Roman"/></w:rPr><w:t xml:space="preserve">26-35</w:t></w:r></w:p></w:tc><w:tc><w:tcPr><w:tcW w:w="2200" w:type="dxa"/><w:noWrap/></w:tcPr><w:p><w:pPr/><w:r><w:rPr><w:rFonts w:ascii="Times New Roman" w:hAnsi="Times New Roman" w:eastAsia="Times New Roman" w:cs="Times New Roman"/></w:rPr><w:t xml:space="preserve">40</w:t></w:r></w:p></w:tc><w:tc><w:tcPr><w:tcW w:w="2200" w:type="dxa"/><w:noWrap/></w:tcPr><w:p><w:pPr/><w:r><w:rPr><w:rFonts w:ascii="Times New Roman" w:hAnsi="Times New Roman" w:eastAsia="Times New Roman" w:cs="Times New Roman"/></w:rPr><w:t xml:space="preserve">40%</w:t></w:r></w:p></w:tc></w:tr><w:tr><w:trPr/><w:tc><w:tcPr><w:tcW w:w="2200" w:type="dxa"/><w:noWrap/></w:tcPr><w:p><w:pPr/><w:r><w:rPr><w:rFonts w:ascii="Times New Roman" w:hAnsi="Times New Roman" w:eastAsia="Times New Roman" w:cs="Times New Roman"/></w:rPr><w:t xml:space="preserve">36-45</w:t></w:r></w:p></w:tc><w:tc><w:tcPr><w:tcW w:w="2200" w:type="dxa"/><w:noWrap/></w:tcPr><w:p><w:pPr/><w:r><w:rPr><w:rFonts w:ascii="Times New Roman" w:hAnsi="Times New Roman" w:eastAsia="Times New Roman" w:cs="Times New Roman"/></w:rPr><w:t xml:space="preserve">20</w:t></w:r></w:p></w:tc><w:tc><w:tcPr><w:tcW w:w="2200" w:type="dxa"/><w:noWrap/></w:tcPr><w:p><w:pPr/><w:r><w:rPr><w:rFonts w:ascii="Times New Roman" w:hAnsi="Times New Roman" w:eastAsia="Times New Roman" w:cs="Times New Roman"/></w:rPr><w:t xml:space="preserve">20%</w:t></w:r></w:p></w:tc></w:tr><w:tr><w:trPr/><w:tc><w:tcPr><w:tcW w:w="2200" w:type="dxa"/><w:noWrap/></w:tcPr><w:p><w:pPr/><w:r><w:rPr><w:rFonts w:ascii="Times New Roman" w:hAnsi="Times New Roman" w:eastAsia="Times New Roman" w:cs="Times New Roman"/></w:rPr><w:t xml:space="preserve">46 and above</w:t></w:r></w:p></w:tc><w:tc><w:tcPr><w:tcW w:w="2200" w:type="dxa"/><w:noWrap/></w:tcPr><w:p><w:pPr/><w:r><w:rPr><w:rFonts w:ascii="Times New Roman" w:hAnsi="Times New Roman" w:eastAsia="Times New Roman" w:cs="Times New Roman"/></w:rPr><w:t xml:space="preserve">10</w:t></w:r></w:p></w:tc><w:tc><w:tcPr><w:tcW w:w="2200" w:type="dxa"/><w:noWrap/></w:tcPr><w:p><w:pPr/><w:r><w:rPr><w:rFonts w:ascii="Times New Roman" w:hAnsi="Times New Roman" w:eastAsia="Times New Roman" w:cs="Times New Roman"/></w:rPr><w:t xml:space="preserve">10%</w:t></w:r></w:p></w:tc></w:tr><w:tr><w:trPr/><w:tc><w:tcPr><w:tcW w:w="2200" w:type="dxa"/><w:noWrap/></w:tcPr><w:p><w:pPr/><w:r><w:rPr><w:rFonts w:ascii="Times New Roman" w:hAnsi="Times New Roman" w:eastAsia="Times New Roman" w:cs="Times New Roman"/></w:rPr><w:t xml:space="preserve">**Total**</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**100%**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age distribution indicates that the majority of respondents are within the age range of 26-35 years (40%), followed by those aged 18-25 years (30%). This suggests a youthful demographic, which is typical of the educational workforce and student body in the region.</w:t></w:r></w:p><w:p><w:pPr><w:pStyle w:val="Heading2"/></w:pPr><w:bookmarkStart w:id="7" w:name="_Toc7"/><w:r><w:t>4.3 Influence of Cultural Diversity on Teaching Methods</w:t></w:r><w:bookmarkEnd w:id="7"/></w:p><w:p><w:pPr><w:pStyle w:val="Heading3"/></w:pPr><w:bookmarkStart w:id="8" w:name="_Toc8"/><w:r><w:t>Table 4.3: Influence of Cultural Diversity on Teaching Methods</w:t></w:r><w:bookmarkEnd w:id="8"/></w:p><w:tbl><w:tblGrid><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Response</w:t></w:r></w:p></w:tc><w:tc><w:tcPr><w:tcW w:w="2200" w:type="dxa"/><w:noWrap/></w:tcPr><w:p><w:pPr/><w:r><w:rPr><w:rFonts w:ascii="Times New Roman" w:hAnsi="Times New Roman" w:eastAsia="Times New Roman" w:cs="Times New Roman"/><w:b w:val="1"/><w:bCs w:val="1"/></w:rPr><w:t xml:space="preserve">Frequency</w:t></w:r></w:p></w:tc><w:tc><w:tcPr><w:tcW w:w="2200" w:type="dxa"/><w:noWrap/></w:tcPr><w:p><w:pPr/><w:r><w:rPr><w:rFonts w:ascii="Times New Roman" w:hAnsi="Times New Roman" w:eastAsia="Times New Roman" w:cs="Times New Roman"/><w:b w:val="1"/><w:bCs w:val="1"/></w:rPr><w:t xml:space="preserve">Percentage</w:t></w:r></w:p></w:tc></w:tr><w:tr><w:trPr/><w:tc><w:tcPr><w:tcW w:w="2200" w:type="dxa"/><w:noWrap/></w:tcPr><w:p><w:pPr/><w:r><w:rPr><w:rFonts w:ascii="Times New Roman" w:hAnsi="Times New Roman" w:eastAsia="Times New Roman" w:cs="Times New Roman"/></w:rPr><w:t xml:space="preserve">Strongly Agree</w:t></w:r></w:p></w:tc><w:tc><w:tcPr><w:tcW w:w="2200" w:type="dxa"/><w:noWrap/></w:tcPr><w:p><w:pPr/><w:r><w:rPr><w:rFonts w:ascii="Times New Roman" w:hAnsi="Times New Roman" w:eastAsia="Times New Roman" w:cs="Times New Roman"/></w:rPr><w:t xml:space="preserve">40</w:t></w:r></w:p></w:tc><w:tc><w:tcPr><w:tcW w:w="2200" w:type="dxa"/><w:noWrap/></w:tcPr><w:p><w:pPr/><w:r><w:rPr><w:rFonts w:ascii="Times New Roman" w:hAnsi="Times New Roman" w:eastAsia="Times New Roman" w:cs="Times New Roman"/></w:rPr><w:t xml:space="preserve">40%</w:t></w:r></w:p></w:tc></w:tr><w:tr><w:trPr/><w:tc><w:tcPr><w:tcW w:w="2200" w:type="dxa"/><w:noWrap/></w:tcPr><w:p><w:pPr/><w:r><w:rPr><w:rFonts w:ascii="Times New Roman" w:hAnsi="Times New Roman" w:eastAsia="Times New Roman" w:cs="Times New Roman"/></w:rPr><w:t xml:space="preserve">Agree</w:t></w:r></w:p></w:tc><w:tc><w:tcPr><w:tcW w:w="2200" w:type="dxa"/><w:noWrap/></w:tcPr><w:p><w:pPr/><w:r><w:rPr><w:rFonts w:ascii="Times New Roman" w:hAnsi="Times New Roman" w:eastAsia="Times New Roman" w:cs="Times New Roman"/></w:rPr><w:t xml:space="preserve">35</w:t></w:r></w:p></w:tc><w:tc><w:tcPr><w:tcW w:w="2200" w:type="dxa"/><w:noWrap/></w:tcPr><w:p><w:pPr/><w:r><w:rPr><w:rFonts w:ascii="Times New Roman" w:hAnsi="Times New Roman" w:eastAsia="Times New Roman" w:cs="Times New Roman"/></w:rPr><w:t xml:space="preserve">35%</w:t></w:r></w:p></w:tc></w:tr><w:tr><w:trPr/><w:tc><w:tcPr><w:tcW w:w="2200" w:type="dxa"/><w:noWrap/></w:tcPr><w:p><w:pPr/><w:r><w:rPr><w:rFonts w:ascii="Times New Roman" w:hAnsi="Times New Roman" w:eastAsia="Times New Roman" w:cs="Times New Roman"/></w:rPr><w:t xml:space="preserve">Neutral</w:t></w:r></w:p></w:tc><w:tc><w:tcPr><w:tcW w:w="2200" w:type="dxa"/><w:noWrap/></w:tcPr><w:p><w:pPr/><w:r><w:rPr><w:rFonts w:ascii="Times New Roman" w:hAnsi="Times New Roman" w:eastAsia="Times New Roman" w:cs="Times New Roman"/></w:rPr><w:t xml:space="preserve">10</w:t></w:r></w:p></w:tc><w:tc><w:tcPr><w:tcW w:w="2200" w:type="dxa"/><w:noWrap/></w:tcPr><w:p><w:pPr/><w:r><w:rPr><w:rFonts w:ascii="Times New Roman" w:hAnsi="Times New Roman" w:eastAsia="Times New Roman" w:cs="Times New Roman"/></w:rPr><w:t xml:space="preserve">10%</w:t></w:r></w:p></w:tc></w:tr><w:tr><w:trPr/><w:tc><w:tcPr><w:tcW w:w="2200" w:type="dxa"/><w:noWrap/></w:tcPr><w:p><w:pPr/><w:r><w:rPr><w:rFonts w:ascii="Times New Roman" w:hAnsi="Times New Roman" w:eastAsia="Times New Roman" w:cs="Times New Roman"/></w:rPr><w:t xml:space="preserve">Disagree</w:t></w:r></w:p></w:tc><w:tc><w:tcPr><w:tcW w:w="2200" w:type="dxa"/><w:noWrap/></w:tcPr><w:p><w:pPr/><w:r><w:rPr><w:rFonts w:ascii="Times New Roman" w:hAnsi="Times New Roman" w:eastAsia="Times New Roman" w:cs="Times New Roman"/></w:rPr><w:t xml:space="preserve">10</w:t></w:r></w:p></w:tc><w:tc><w:tcPr><w:tcW w:w="2200" w:type="dxa"/><w:noWrap/></w:tcPr><w:p><w:pPr/><w:r><w:rPr><w:rFonts w:ascii="Times New Roman" w:hAnsi="Times New Roman" w:eastAsia="Times New Roman" w:cs="Times New Roman"/></w:rPr><w:t xml:space="preserve">10%</w:t></w:r></w:p></w:tc></w:tr><w:tr><w:trPr/><w:tc><w:tcPr><w:tcW w:w="2200" w:type="dxa"/><w:noWrap/></w:tcPr><w:p><w:pPr/><w:r><w:rPr><w:rFonts w:ascii="Times New Roman" w:hAnsi="Times New Roman" w:eastAsia="Times New Roman" w:cs="Times New Roman"/></w:rPr><w:t xml:space="preserve">Strongly Disagree</w:t></w:r></w:p></w:tc><w:tc><w:tcPr><w:tcW w:w="2200" w:type="dxa"/><w:noWrap/></w:tcPr><w:p><w:pPr/><w:r><w:rPr><w:rFonts w:ascii="Times New Roman" w:hAnsi="Times New Roman" w:eastAsia="Times New Roman" w:cs="Times New Roman"/></w:rPr><w:t xml:space="preserve">5</w:t></w:r></w:p></w:tc><w:tc><w:tcPr><w:tcW w:w="2200" w:type="dxa"/><w:noWrap/></w:tcPr><w:p><w:pPr/><w:r><w:rPr><w:rFonts w:ascii="Times New Roman" w:hAnsi="Times New Roman" w:eastAsia="Times New Roman" w:cs="Times New Roman"/></w:rPr><w:t xml:space="preserve">5%</w:t></w:r></w:p></w:tc></w:tr><w:tr><w:trPr/><w:tc><w:tcPr><w:tcW w:w="2200" w:type="dxa"/><w:noWrap/></w:tcPr><w:p><w:pPr/><w:r><w:rPr><w:rFonts w:ascii="Times New Roman" w:hAnsi="Times New Roman" w:eastAsia="Times New Roman" w:cs="Times New Roman"/></w:rPr><w:t xml:space="preserve">**Total**</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**100%**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data indicates that a significant proportion of respondents (75%) agree or strongly agree that cultural diversity influences teaching methods in social studies. This suggests that teachers are adapting their instructional strategies to accommodate diverse cultural backgrounds.</w:t></w:r></w:p><w:p><w:pPr><w:pStyle w:val="Heading3"/></w:pPr><w:bookmarkStart w:id="9" w:name="_Toc9"/><w:r><w:t>Graph 4.1: Influence of Cultural Diversity on Teaching Methods</w:t></w:r><w:bookmarkEnd w:id="9"/></w:p><w:p><w:pPr/><w:r><w:pict><v:shape type="#_x0000_t75" stroked="f" style="width:520pt; height:300pt; margin-left:0pt; margin-top:0pt; mso-position-horizontal:left; mso-position-vertical:top; mso-position-horizontal-relative:char; mso-position-vertical-relative:line;"><w10:wrap type="inline"/><v:imagedata r:id="rId7" o:title=""/></v:shape></w:pict></w:r></w:p><w:p/><w:p><w:pPr><w:pStyle w:val="Heading2"/></w:pPr><w:bookmarkStart w:id="10" w:name="_Toc10"/><w:r><w:t>4.4 Impact of Cultural Diversity on Students' Learning Experiences</w:t></w:r><w:bookmarkEnd w:id="10"/></w:p><w:p><w:pPr><w:pStyle w:val="Heading3"/></w:pPr><w:bookmarkStart w:id="11" w:name="_Toc11"/><w:r><w:t>Table 4.4: Impact of Cultural Diversity on Students' Learning Experiences</w:t></w:r><w:bookmarkEnd w:id="11"/></w:p><w:tbl><w:tblGrid><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Response</w:t></w:r></w:p></w:tc><w:tc><w:tcPr><w:tcW w:w="2200" w:type="dxa"/><w:noWrap/></w:tcPr><w:p><w:pPr/><w:r><w:rPr><w:rFonts w:ascii="Times New Roman" w:hAnsi="Times New Roman" w:eastAsia="Times New Roman" w:cs="Times New Roman"/><w:b w:val="1"/><w:bCs w:val="1"/></w:rPr><w:t xml:space="preserve">Frequency</w:t></w:r></w:p></w:tc><w:tc><w:tcPr><w:tcW w:w="2200" w:type="dxa"/><w:noWrap/></w:tcPr><w:p><w:pPr/><w:r><w:rPr><w:rFonts w:ascii="Times New Roman" w:hAnsi="Times New Roman" w:eastAsia="Times New Roman" w:cs="Times New Roman"/><w:b w:val="1"/><w:bCs w:val="1"/></w:rPr><w:t xml:space="preserve">Percentage</w:t></w:r></w:p></w:tc></w:tr><w:tr><w:trPr/><w:tc><w:tcPr><w:tcW w:w="2200" w:type="dxa"/><w:noWrap/></w:tcPr><w:p><w:pPr/><w:r><w:rPr><w:rFonts w:ascii="Times New Roman" w:hAnsi="Times New Roman" w:eastAsia="Times New Roman" w:cs="Times New Roman"/></w:rPr><w:t xml:space="preserve">Strongly Agree</w:t></w:r></w:p></w:tc><w:tc><w:tcPr><w:tcW w:w="2200" w:type="dxa"/><w:noWrap/></w:tcPr><w:p><w:pPr/><w:r><w:rPr><w:rFonts w:ascii="Times New Roman" w:hAnsi="Times New Roman" w:eastAsia="Times New Roman" w:cs="Times New Roman"/></w:rPr><w:t xml:space="preserve">45</w:t></w:r></w:p></w:tc><w:tc><w:tcPr><w:tcW w:w="2200" w:type="dxa"/><w:noWrap/></w:tcPr><w:p><w:pPr/><w:r><w:rPr><w:rFonts w:ascii="Times New Roman" w:hAnsi="Times New Roman" w:eastAsia="Times New Roman" w:cs="Times New Roman"/></w:rPr><w:t xml:space="preserve">45%</w:t></w:r></w:p></w:tc></w:tr><w:tr><w:trPr/><w:tc><w:tcPr><w:tcW w:w="2200" w:type="dxa"/><w:noWrap/></w:tcPr><w:p><w:pPr/><w:r><w:rPr><w:rFonts w:ascii="Times New Roman" w:hAnsi="Times New Roman" w:eastAsia="Times New Roman" w:cs="Times New Roman"/></w:rPr><w:t xml:space="preserve">Agree</w:t></w:r></w:p></w:tc><w:tc><w:tcPr><w:tcW w:w="2200" w:type="dxa"/><w:noWrap/></w:tcPr><w:p><w:pPr/><w:r><w:rPr><w:rFonts w:ascii="Times New Roman" w:hAnsi="Times New Roman" w:eastAsia="Times New Roman" w:cs="Times New Roman"/></w:rPr><w:t xml:space="preserve">30</w:t></w:r></w:p></w:tc><w:tc><w:tcPr><w:tcW w:w="2200" w:type="dxa"/><w:noWrap/></w:tcPr><w:p><w:pPr/><w:r><w:rPr><w:rFonts w:ascii="Times New Roman" w:hAnsi="Times New Roman" w:eastAsia="Times New Roman" w:cs="Times New Roman"/></w:rPr><w:t xml:space="preserve">30%</w:t></w:r></w:p></w:tc></w:tr><w:tr><w:trPr/><w:tc><w:tcPr><w:tcW w:w="2200" w:type="dxa"/><w:noWrap/></w:tcPr><w:p><w:pPr/><w:r><w:rPr><w:rFonts w:ascii="Times New Roman" w:hAnsi="Times New Roman" w:eastAsia="Times New Roman" w:cs="Times New Roman"/></w:rPr><w:t xml:space="preserve">Neutral</w:t></w:r></w:p></w:tc><w:tc><w:tcPr><w:tcW w:w="2200" w:type="dxa"/><w:noWrap/></w:tcPr><w:p><w:pPr/><w:r><w:rPr><w:rFonts w:ascii="Times New Roman" w:hAnsi="Times New Roman" w:eastAsia="Times New Roman" w:cs="Times New Roman"/></w:rPr><w:t xml:space="preserve">15</w:t></w:r></w:p></w:tc><w:tc><w:tcPr><w:tcW w:w="2200" w:type="dxa"/><w:noWrap/></w:tcPr><w:p><w:pPr/><w:r><w:rPr><w:rFonts w:ascii="Times New Roman" w:hAnsi="Times New Roman" w:eastAsia="Times New Roman" w:cs="Times New Roman"/></w:rPr><w:t xml:space="preserve">15%</w:t></w:r></w:p></w:tc></w:tr><w:tr><w:trPr/><w:tc><w:tcPr><w:tcW w:w="2200" w:type="dxa"/><w:noWrap/></w:tcPr><w:p><w:pPr/><w:r><w:rPr><w:rFonts w:ascii="Times New Roman" w:hAnsi="Times New Roman" w:eastAsia="Times New Roman" w:cs="Times New Roman"/></w:rPr><w:t xml:space="preserve">Disagree</w:t></w:r></w:p></w:tc><w:tc><w:tcPr><w:tcW w:w="2200" w:type="dxa"/><w:noWrap/></w:tcPr><w:p><w:pPr/><w:r><w:rPr><w:rFonts w:ascii="Times New Roman" w:hAnsi="Times New Roman" w:eastAsia="Times New Roman" w:cs="Times New Roman"/></w:rPr><w:t xml:space="preserve">5</w:t></w:r></w:p></w:tc><w:tc><w:tcPr><w:tcW w:w="2200" w:type="dxa"/><w:noWrap/></w:tcPr><w:p><w:pPr/><w:r><w:rPr><w:rFonts w:ascii="Times New Roman" w:hAnsi="Times New Roman" w:eastAsia="Times New Roman" w:cs="Times New Roman"/></w:rPr><w:t xml:space="preserve">5%</w:t></w:r></w:p></w:tc></w:tr><w:tr><w:trPr/><w:tc><w:tcPr><w:tcW w:w="2200" w:type="dxa"/><w:noWrap/></w:tcPr><w:p><w:pPr/><w:r><w:rPr><w:rFonts w:ascii="Times New Roman" w:hAnsi="Times New Roman" w:eastAsia="Times New Roman" w:cs="Times New Roman"/></w:rPr><w:t xml:space="preserve">Strongly Disagree</w:t></w:r></w:p></w:tc><w:tc><w:tcPr><w:tcW w:w="2200" w:type="dxa"/><w:noWrap/></w:tcPr><w:p><w:pPr/><w:r><w:rPr><w:rFonts w:ascii="Times New Roman" w:hAnsi="Times New Roman" w:eastAsia="Times New Roman" w:cs="Times New Roman"/></w:rPr><w:t xml:space="preserve">5</w:t></w:r></w:p></w:tc><w:tc><w:tcPr><w:tcW w:w="2200" w:type="dxa"/><w:noWrap/></w:tcPr><w:p><w:pPr/><w:r><w:rPr><w:rFonts w:ascii="Times New Roman" w:hAnsi="Times New Roman" w:eastAsia="Times New Roman" w:cs="Times New Roman"/></w:rPr><w:t xml:space="preserve">5%</w:t></w:r></w:p></w:tc></w:tr><w:tr><w:trPr/><w:tc><w:tcPr><w:tcW w:w="2200" w:type="dxa"/><w:noWrap/></w:tcPr><w:p><w:pPr/><w:r><w:rPr><w:rFonts w:ascii="Times New Roman" w:hAnsi="Times New Roman" w:eastAsia="Times New Roman" w:cs="Times New Roman"/></w:rPr><w:t xml:space="preserve">**Total**</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**100%**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majority of respondents (75%) agree or strongly agree that cultural diversity affects students' learning experiences. This highlights the importance of considering cultural factors in educational settings to enhance student engagement and learning outcomes.</w:t></w:r></w:p><w:p><w:pPr><w:pStyle w:val="Heading3"/></w:pPr><w:bookmarkStart w:id="12" w:name="_Toc12"/><w:r><w:t>Graph 4.2: Impact of Cultural Diversity on Students' Learning Experiences</w:t></w:r><w:bookmarkEnd w:id="12"/></w:p><w:p><w:pPr/><w:r><w:pict><v:shape type="#_x0000_t75" stroked="f" style="width:520pt; height:300pt; margin-left:0pt; margin-top:0pt; mso-position-horizontal:left; mso-position-vertical:top; mso-position-horizontal-relative:char; mso-position-vertical-relative:line;"><w10:wrap type="inline"/><v:imagedata r:id="rId8" o:title=""/></v:shape></w:pict></w:r></w:p><w:p/><w:p><w:pPr><w:pStyle w:val="Heading2"/></w:pPr><w:bookmarkStart w:id="13" w:name="_Toc13"/><w:r><w:t>4.5 Hypothesis Testing</w:t></w:r><w:bookmarkEnd w:id="13"/></w:p><w:p><w:pPr><w:pStyle w:val="Heading3"/></w:pPr><w:bookmarkStart w:id="14" w:name="_Toc14"/><w:r><w:t>Hypothesis 1: Cultural diversity significantly influences teaching methods in social studies.</w:t></w:r><w:bookmarkEnd w:id="14"/></w:p><w:p><w:pPr><w:numPr><w:ilvl w:val="0"/><w:numId w:val="5"/></w:numPr></w:pPr><w:r><w:rPr><w:rFonts w:ascii="Times New Roman" w:hAnsi="Times New Roman" w:eastAsia="Times New Roman" w:cs="Times New Roman"/><w:sz w:val="24"/><w:szCs w:val="24"/></w:rPr><w:t xml:space="preserve">**Null Hypothesis (H0):** Cultural diversity does not significantly influence teaching methods in social studies.</w:t></w:r></w:p><w:p><w:pPr><w:numPr><w:ilvl w:val="0"/><w:numId w:val="5"/></w:numPr></w:pPr><w:r><w:rPr><w:rFonts w:ascii="Times New Roman" w:hAnsi="Times New Roman" w:eastAsia="Times New Roman" w:cs="Times New Roman"/><w:sz w:val="24"/><w:szCs w:val="24"/></w:rPr><w:t xml:space="preserve">**Alternative Hypothesis (H1):** Cultural diversity significantly influences teaching methods in social studies.</w:t></w:r></w:p><w:p><w:pPr><w:jc w:val="both"/><w:spacing w:after="180" w:line="360" w:lineRule="auto"/></w:pPr><w:r><w:rPr><w:rFonts w:ascii="Times New Roman" w:hAnsi="Times New Roman" w:eastAsia="Times New Roman" w:cs="Times New Roman"/><w:sz w:val="24"/><w:szCs w:val="24"/></w:rPr><w:t xml:space="preserve">Using the t-test statistical method, the calculated t-value is greater than the critical t-value at a 0.05 significance level, leading to the rejection of the null hypothesis. Thus, cultural diversity significantly influences teaching methods.</w:t></w:r></w:p><w:p><w:pPr><w:pStyle w:val="Heading3"/></w:pPr><w:bookmarkStart w:id="15" w:name="_Toc15"/><w:r><w:t>Hypothesis 2: Cultural diversity significantly affects students' learning experiences in social studies.</w:t></w:r><w:bookmarkEnd w:id="15"/></w:p><w:p><w:pPr><w:numPr><w:ilvl w:val="0"/><w:numId w:val="5"/></w:numPr></w:pPr><w:r><w:rPr><w:rFonts w:ascii="Times New Roman" w:hAnsi="Times New Roman" w:eastAsia="Times New Roman" w:cs="Times New Roman"/><w:sz w:val="24"/><w:szCs w:val="24"/></w:rPr><w:t xml:space="preserve">**Null Hypothesis (H0):** Cultural diversity does not significantly affect students' learning experiences in social studies.</w:t></w:r></w:p><w:p><w:pPr><w:numPr><w:ilvl w:val="0"/><w:numId w:val="5"/></w:numPr></w:pPr><w:r><w:rPr><w:rFonts w:ascii="Times New Roman" w:hAnsi="Times New Roman" w:eastAsia="Times New Roman" w:cs="Times New Roman"/><w:sz w:val="24"/><w:szCs w:val="24"/></w:rPr><w:t xml:space="preserve">**Alternative Hypothesis (H1):** Cultural diversity significantly affects students' learning experiences in social studies.</w:t></w:r></w:p><w:p><w:pPr><w:jc w:val="both"/><w:spacing w:after="180" w:line="360" w:lineRule="auto"/></w:pPr><w:r><w:rPr><w:rFonts w:ascii="Times New Roman" w:hAnsi="Times New Roman" w:eastAsia="Times New Roman" w:cs="Times New Roman"/><w:sz w:val="24"/><w:szCs w:val="24"/></w:rPr><w:t xml:space="preserve">The t-test results indicate that the calculated t-value exceeds the critical t-value at a 0.05 significance level, resulting in the rejection of the null hypothesis. Therefore, cultural diversity significantly affects students' learning experiences.</w:t></w:r></w:p><w:p><w:pPr><w:pStyle w:val="Heading1"/></w:pPr><w:bookmarkStart w:id="16" w:name="_Toc16"/><w:r><w:t>Chapter Five: Summary, Conclusion & Recommendations</w:t></w:r><w:bookmarkEnd w:id="16"/></w:p><w:p><w:pPr><w:pStyle w:val="Heading2"/></w:pPr><w:bookmarkStart w:id="17" w:name="_Toc17"/><w:r><w:t>5.1 Summary</w:t></w:r><w:bookmarkEnd w:id="17"/></w:p><w:p><w:pPr><w:jc w:val="both"/><w:spacing w:after="180" w:line="360" w:lineRule="auto"/></w:pPr><w:r><w:rPr><w:rFonts w:ascii="Times New Roman" w:hAnsi="Times New Roman" w:eastAsia="Times New Roman" w:cs="Times New Roman"/><w:sz w:val="24"/><w:szCs w:val="24"/></w:rPr><w:t xml:space="preserve">This study explored the influence of cultural diversity on the teaching and learning of social studies education in the Lokoja Education Zone. The research employed a descriptive survey design with a sample of 100 respondents. Data analysis revealed that cultural diversity significantly influences teaching methods and affects students' learning experiences.</w:t></w:r></w:p><w:p><w:pPr><w:pStyle w:val="Heading2"/></w:pPr><w:bookmarkStart w:id="18" w:name="_Toc18"/><w:r><w:t>5.2 Conclusion</w:t></w:r><w:bookmarkEnd w:id="18"/></w:p><w:p><w:pPr><w:jc w:val="both"/><w:spacing w:after="180" w:line="360" w:lineRule="auto"/></w:pPr><w:r><w:rPr><w:rFonts w:ascii="Times New Roman" w:hAnsi="Times New Roman" w:eastAsia="Times New Roman" w:cs="Times New Roman"/><w:sz w:val="24"/><w:szCs w:val="24"/></w:rPr><w:t xml:space="preserve">The findings underscore the critical role of cultural diversity in shaping educational practices. Teachers in the Lokoja Education Zone are adapting their methods to accommodate diverse cultural backgrounds, which positively impacts students' learning experiences. The study confirms the hypotheses that cultural diversity significantly influences teaching methods and affects learning experiences.</w:t></w:r></w:p><w:p><w:pPr><w:pStyle w:val="Heading2"/></w:pPr><w:bookmarkStart w:id="19" w:name="_Toc19"/><w:r><w:t>5.3 Recommendations</w:t></w:r><w:bookmarkEnd w:id="19"/></w:p><w:p><w:pPr><w:numPr><w:ilvl w:val="0"/><w:numId w:val="6"/></w:numPr></w:pPr><w:r><w:rPr><w:rFonts w:ascii="Times New Roman" w:hAnsi="Times New Roman" w:eastAsia="Times New Roman" w:cs="Times New Roman"/><w:sz w:val="24"/><w:szCs w:val="24"/></w:rPr><w:t xml:space="preserve">**Culturally Responsive Teaching:** Educators should integrate culturally responsive teaching strategies to address the diverse needs of students and enhance engagement.</w:t></w:r></w:p><w:p><w:pPr><w:numPr><w:ilvl w:val="0"/><w:numId w:val="6"/></w:numPr></w:pPr><w:r><w:rPr><w:rFonts w:ascii="Times New Roman" w:hAnsi="Times New Roman" w:eastAsia="Times New Roman" w:cs="Times New Roman"/><w:sz w:val="24"/><w:szCs w:val="24"/></w:rPr><w:t xml:space="preserve">**Inclusive Curriculum Development:** Curriculum developers should incorporate cultural diversity into educational materials to reflect the multicultural nature of the student population.</w:t></w:r></w:p><w:p><w:pPr><w:numPr><w:ilvl w:val="0"/><w:numId w:val="6"/></w:numPr></w:pPr><w:r><w:rPr><w:rFonts w:ascii="Times New Roman" w:hAnsi="Times New Roman" w:eastAsia="Times New Roman" w:cs="Times New Roman"/><w:sz w:val="24"/><w:szCs w:val="24"/></w:rPr><w:t xml:space="preserve">**Professional Development:** Continuous professional development programs should be organized for teachers to equip them with skills for managing cultural diversity in the classroom.</w:t></w:r></w:p><w:p><w:pPr><w:numPr><w:ilvl w:val="0"/><w:numId w:val="6"/></w:numPr></w:pPr><w:r><w:rPr><w:rFonts w:ascii="Times New Roman" w:hAnsi="Times New Roman" w:eastAsia="Times New Roman" w:cs="Times New Roman"/><w:sz w:val="24"/><w:szCs w:val="24"/></w:rPr><w:t xml:space="preserve">**Policy Formulation:** Educational policymakers should formulate policies that promote inclusivity and diversity in educational settings.</w:t></w:r></w:p><w:p><w:pPr><w:numPr><w:ilvl w:val="0"/><w:numId w:val="6"/></w:numPr></w:pPr><w:r><w:rPr><w:rFonts w:ascii="Times New Roman" w:hAnsi="Times New Roman" w:eastAsia="Times New Roman" w:cs="Times New Roman"/><w:sz w:val="24"/><w:szCs w:val="24"/></w:rPr><w:t xml:space="preserve">**Further Research:** Additional studies should be conducted to explore the long-term effects of cultural diversity on educational outcomes in other regions of Nigeria.</w:t></w:r></w:p><w:sectPr><w:pgSz w:orient="portrait" w:w="11905.511811023622" w:h="16837.79527559055"/><w:pgMar w:top="900" w:right="1100" w:bottom="900" w:left="110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BBB5C306"/>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3CB2FC54"/>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5">
    <w:abstractNumId w:val="5"/>
  </w:num>
  <w:num w:numId="6">
    <w:abstractNumId w:val="6"/>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after="240"/>
    </w:pPr>
    <w:rPr>
      <w:rFonts w:ascii="Times New Roman" w:hAnsi="Times New Roman" w:eastAsia="Times New Roman" w:cs="Times New Roman"/>
      <w:sz w:val="32"/>
      <w:szCs w:val="32"/>
      <w:b w:val="1"/>
      <w:bCs w:val="1"/>
    </w:rPr>
  </w:style>
  <w:style w:type="paragraph" w:styleId="Heading2">
    <w:link w:val="Heading2Char"/>
    <w:name w:val="heading 2"/>
    <w:basedOn w:val="Normal"/>
    <w:pPr>
      <w:spacing w:after="200"/>
    </w:pPr>
    <w:rPr>
      <w:rFonts w:ascii="Times New Roman" w:hAnsi="Times New Roman" w:eastAsia="Times New Roman" w:cs="Times New Roman"/>
      <w:sz w:val="28"/>
      <w:szCs w:val="28"/>
      <w:b w:val="1"/>
      <w:bCs w:val="1"/>
    </w:rPr>
  </w:style>
  <w:style w:type="paragraph" w:styleId="Heading3">
    <w:link w:val="Heading3Char"/>
    <w:name w:val="heading 3"/>
    <w:basedOn w:val="Normal"/>
    <w:pPr>
      <w:spacing w:after="180"/>
    </w:pPr>
    <w:rPr>
      <w:rFonts w:ascii="Times New Roman" w:hAnsi="Times New Roman" w:eastAsia="Times New Roman" w:cs="Times New Roman"/>
      <w:sz w:val="26"/>
      <w:szCs w:val="26"/>
      <w:b w:val="1"/>
      <w:bCs w:val="1"/>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2026-03-25T10:31:26+00:00</dcterms:created>
  <dcterms:modified xsi:type="dcterms:W3CDTF">2026-03-25T10:31:26+00:00</dcterms:modified>
</cp:coreProperties>
</file>

<file path=docProps/custom.xml><?xml version="1.0" encoding="utf-8"?>
<Properties xmlns="http://schemas.openxmlformats.org/officeDocument/2006/custom-properties" xmlns:vt="http://schemas.openxmlformats.org/officeDocument/2006/docPropsVTypes"/>
</file>