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2A988" w14:textId="77777777" w:rsidR="009C14ED" w:rsidRPr="00F43C69" w:rsidRDefault="003D643B">
      <w:pPr>
        <w:rPr>
          <w:sz w:val="24"/>
          <w:szCs w:val="24"/>
        </w:rPr>
      </w:pPr>
      <w:r w:rsidRPr="00F43C69">
        <w:rPr>
          <w:sz w:val="24"/>
          <w:szCs w:val="24"/>
        </w:rPr>
        <w:br w:type="page"/>
      </w:r>
    </w:p>
    <w:p w14:paraId="13574C94" w14:textId="77777777" w:rsidR="00BC1E77" w:rsidRPr="00F43C69" w:rsidRDefault="00BC1E77" w:rsidP="00BC1E77">
      <w:pPr>
        <w:pStyle w:val="Heading2"/>
        <w:spacing w:beforeAutospacing="0" w:afterAutospacing="0"/>
        <w:rPr>
          <w:rStyle w:val="Strong"/>
          <w:rFonts w:ascii="Times New Roman" w:hAnsi="Times New Roman" w:hint="default"/>
          <w:b/>
          <w:bCs/>
          <w:sz w:val="24"/>
          <w:szCs w:val="24"/>
        </w:rPr>
        <w:sectPr w:rsidR="00BC1E77" w:rsidRPr="00F43C69" w:rsidSect="00BC1E77">
          <w:pgSz w:w="11906" w:h="16838"/>
          <w:pgMar w:top="1440" w:right="1800" w:bottom="1440" w:left="1800" w:header="720" w:footer="720" w:gutter="0"/>
          <w:cols w:space="720"/>
          <w:docGrid w:linePitch="360"/>
        </w:sectPr>
      </w:pPr>
    </w:p>
    <w:p w14:paraId="204708E7" w14:textId="22E05631" w:rsidR="009C14ED" w:rsidRPr="00F43C69" w:rsidRDefault="003D643B" w:rsidP="00BC1E77">
      <w:pPr>
        <w:pStyle w:val="Heading2"/>
        <w:spacing w:beforeAutospacing="0" w:afterAutospacing="0"/>
        <w:rPr>
          <w:rFonts w:ascii="Times New Roman" w:hAnsi="Times New Roman" w:hint="default"/>
          <w:sz w:val="24"/>
          <w:szCs w:val="24"/>
        </w:rPr>
      </w:pPr>
      <w:r w:rsidRPr="00F43C69">
        <w:rPr>
          <w:rStyle w:val="Strong"/>
          <w:rFonts w:ascii="Times New Roman" w:hAnsi="Times New Roman" w:hint="default"/>
          <w:b/>
          <w:bCs/>
          <w:sz w:val="24"/>
          <w:szCs w:val="24"/>
        </w:rPr>
        <w:lastRenderedPageBreak/>
        <w:t>Table X. Mean ± SD of Physicochemical Parameters of Surface Water (May 2025)</w:t>
      </w:r>
    </w:p>
    <w:p w14:paraId="0768FD35" w14:textId="77777777" w:rsidR="009C14ED" w:rsidRPr="00F43C69" w:rsidRDefault="003D643B" w:rsidP="00BC1E77">
      <w:pPr>
        <w:pStyle w:val="NormalWeb"/>
        <w:spacing w:beforeAutospacing="0" w:afterAutospacing="0"/>
      </w:pPr>
      <w:r w:rsidRPr="00F43C69">
        <w:rPr>
          <w:rStyle w:val="Strong"/>
        </w:rPr>
        <w:t>Values represent Mean ± SD (n = 3)</w:t>
      </w:r>
    </w:p>
    <w:tbl>
      <w:tblPr>
        <w:tblStyle w:val="PlainTable2"/>
        <w:tblW w:w="14874" w:type="dxa"/>
        <w:tblLook w:val="06A0" w:firstRow="1" w:lastRow="0" w:firstColumn="1" w:lastColumn="0" w:noHBand="1" w:noVBand="1"/>
      </w:tblPr>
      <w:tblGrid>
        <w:gridCol w:w="1844"/>
        <w:gridCol w:w="1082"/>
        <w:gridCol w:w="1210"/>
        <w:gridCol w:w="835"/>
        <w:gridCol w:w="1177"/>
        <w:gridCol w:w="1079"/>
        <w:gridCol w:w="1048"/>
        <w:gridCol w:w="1095"/>
        <w:gridCol w:w="1109"/>
        <w:gridCol w:w="1109"/>
        <w:gridCol w:w="1109"/>
        <w:gridCol w:w="1073"/>
        <w:gridCol w:w="1104"/>
      </w:tblGrid>
      <w:tr w:rsidR="009C14ED" w:rsidRPr="00F43C69" w14:paraId="77842372" w14:textId="77777777" w:rsidTr="00BC1E77">
        <w:trPr>
          <w:cnfStyle w:val="100000000000" w:firstRow="1" w:lastRow="0" w:firstColumn="0" w:lastColumn="0" w:oddVBand="0" w:evenVBand="0" w:oddHBand="0"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0" w:type="auto"/>
          </w:tcPr>
          <w:p w14:paraId="51357EC8" w14:textId="77777777" w:rsidR="009C14ED" w:rsidRPr="00F43C69" w:rsidRDefault="003D643B">
            <w:pPr>
              <w:jc w:val="center"/>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Station</w:t>
            </w:r>
          </w:p>
        </w:tc>
        <w:tc>
          <w:tcPr>
            <w:tcW w:w="0" w:type="auto"/>
          </w:tcPr>
          <w:p w14:paraId="5CE304F5"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Air Temp (°C)</w:t>
            </w:r>
          </w:p>
        </w:tc>
        <w:tc>
          <w:tcPr>
            <w:tcW w:w="0" w:type="auto"/>
          </w:tcPr>
          <w:p w14:paraId="0359099F"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Water Temp (°C)</w:t>
            </w:r>
          </w:p>
        </w:tc>
        <w:tc>
          <w:tcPr>
            <w:tcW w:w="0" w:type="auto"/>
          </w:tcPr>
          <w:p w14:paraId="6A4E3186"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pH</w:t>
            </w:r>
          </w:p>
        </w:tc>
        <w:tc>
          <w:tcPr>
            <w:tcW w:w="0" w:type="auto"/>
          </w:tcPr>
          <w:p w14:paraId="2CA7693E"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EC (µS/cm)</w:t>
            </w:r>
          </w:p>
        </w:tc>
        <w:tc>
          <w:tcPr>
            <w:tcW w:w="0" w:type="auto"/>
          </w:tcPr>
          <w:p w14:paraId="319B614A"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TDS (mg/L)</w:t>
            </w:r>
          </w:p>
        </w:tc>
        <w:tc>
          <w:tcPr>
            <w:tcW w:w="0" w:type="auto"/>
          </w:tcPr>
          <w:p w14:paraId="02D6BDAD"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DO (mg/L)</w:t>
            </w:r>
          </w:p>
        </w:tc>
        <w:tc>
          <w:tcPr>
            <w:tcW w:w="0" w:type="auto"/>
          </w:tcPr>
          <w:p w14:paraId="24E60168"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BOD (mg/L)</w:t>
            </w:r>
          </w:p>
        </w:tc>
        <w:tc>
          <w:tcPr>
            <w:tcW w:w="0" w:type="auto"/>
          </w:tcPr>
          <w:p w14:paraId="4398757B"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COD (mg/L)</w:t>
            </w:r>
          </w:p>
        </w:tc>
        <w:tc>
          <w:tcPr>
            <w:tcW w:w="0" w:type="auto"/>
          </w:tcPr>
          <w:p w14:paraId="5B6B911B"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SO₄²⁻ (mg/L)</w:t>
            </w:r>
          </w:p>
        </w:tc>
        <w:tc>
          <w:tcPr>
            <w:tcW w:w="0" w:type="auto"/>
          </w:tcPr>
          <w:p w14:paraId="2E421EC4"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NO₃⁻ (mg/L)</w:t>
            </w:r>
          </w:p>
        </w:tc>
        <w:tc>
          <w:tcPr>
            <w:tcW w:w="0" w:type="auto"/>
          </w:tcPr>
          <w:p w14:paraId="5D5E4D0B"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Cl⁻ (mg/L)</w:t>
            </w:r>
          </w:p>
        </w:tc>
        <w:tc>
          <w:tcPr>
            <w:tcW w:w="0" w:type="auto"/>
          </w:tcPr>
          <w:p w14:paraId="241C8144" w14:textId="77777777" w:rsidR="009C14ED" w:rsidRPr="00F43C69" w:rsidRDefault="003D64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43C69">
              <w:rPr>
                <w:rFonts w:ascii="Times New Roman" w:eastAsia="SimSun" w:hAnsi="Times New Roman" w:cs="Times New Roman"/>
                <w:sz w:val="24"/>
                <w:szCs w:val="24"/>
                <w:lang w:bidi="ar"/>
              </w:rPr>
              <w:t>PO₄³⁻ (mg/L)</w:t>
            </w:r>
          </w:p>
        </w:tc>
      </w:tr>
      <w:tr w:rsidR="009C14ED" w:rsidRPr="00F43C69" w14:paraId="1EE7602B"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6E0F86D5"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Opposite GSM Village</w:t>
            </w:r>
          </w:p>
        </w:tc>
        <w:tc>
          <w:tcPr>
            <w:tcW w:w="0" w:type="auto"/>
          </w:tcPr>
          <w:p w14:paraId="075AF37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0.58</w:t>
            </w:r>
          </w:p>
        </w:tc>
        <w:tc>
          <w:tcPr>
            <w:tcW w:w="0" w:type="auto"/>
          </w:tcPr>
          <w:p w14:paraId="173ECCE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29.87 ± 0.06</w:t>
            </w:r>
          </w:p>
        </w:tc>
        <w:tc>
          <w:tcPr>
            <w:tcW w:w="0" w:type="auto"/>
          </w:tcPr>
          <w:p w14:paraId="16C1C9E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7.34 ± 0.07</w:t>
            </w:r>
          </w:p>
        </w:tc>
        <w:tc>
          <w:tcPr>
            <w:tcW w:w="0" w:type="auto"/>
          </w:tcPr>
          <w:p w14:paraId="01A5443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71.00 ± 2.65</w:t>
            </w:r>
          </w:p>
        </w:tc>
        <w:tc>
          <w:tcPr>
            <w:tcW w:w="0" w:type="auto"/>
          </w:tcPr>
          <w:p w14:paraId="41D919E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35.67 ± 1.15</w:t>
            </w:r>
          </w:p>
        </w:tc>
        <w:tc>
          <w:tcPr>
            <w:tcW w:w="0" w:type="auto"/>
          </w:tcPr>
          <w:p w14:paraId="63B7036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3.87 ± 0.21</w:t>
            </w:r>
          </w:p>
        </w:tc>
        <w:tc>
          <w:tcPr>
            <w:tcW w:w="0" w:type="auto"/>
          </w:tcPr>
          <w:p w14:paraId="1846D84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2.23 ± 0.45</w:t>
            </w:r>
          </w:p>
        </w:tc>
        <w:tc>
          <w:tcPr>
            <w:tcW w:w="0" w:type="auto"/>
          </w:tcPr>
          <w:p w14:paraId="2DE72E7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36.93 ± 6.66</w:t>
            </w:r>
          </w:p>
        </w:tc>
        <w:tc>
          <w:tcPr>
            <w:tcW w:w="0" w:type="auto"/>
          </w:tcPr>
          <w:p w14:paraId="2C531BB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0.130 ± 0.006</w:t>
            </w:r>
          </w:p>
        </w:tc>
        <w:tc>
          <w:tcPr>
            <w:tcW w:w="0" w:type="auto"/>
          </w:tcPr>
          <w:p w14:paraId="2AF25FC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0.265 ± 0.005</w:t>
            </w:r>
          </w:p>
        </w:tc>
        <w:tc>
          <w:tcPr>
            <w:tcW w:w="0" w:type="auto"/>
          </w:tcPr>
          <w:p w14:paraId="223BEE5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10.67 ± 1.06</w:t>
            </w:r>
          </w:p>
        </w:tc>
        <w:tc>
          <w:tcPr>
            <w:tcW w:w="0" w:type="auto"/>
          </w:tcPr>
          <w:p w14:paraId="5F0AE92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5.27 ± 0.31</w:t>
            </w:r>
          </w:p>
        </w:tc>
      </w:tr>
      <w:tr w:rsidR="009C14ED" w:rsidRPr="00F43C69" w14:paraId="5AEAAFB9"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00883C38"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Kpata</w:t>
            </w:r>
            <w:proofErr w:type="spellEnd"/>
          </w:p>
        </w:tc>
        <w:tc>
          <w:tcPr>
            <w:tcW w:w="0" w:type="auto"/>
          </w:tcPr>
          <w:p w14:paraId="4A5C0CF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0.58</w:t>
            </w:r>
          </w:p>
        </w:tc>
        <w:tc>
          <w:tcPr>
            <w:tcW w:w="0" w:type="auto"/>
          </w:tcPr>
          <w:p w14:paraId="68672BC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29.93 ± 0.15</w:t>
            </w:r>
          </w:p>
        </w:tc>
        <w:tc>
          <w:tcPr>
            <w:tcW w:w="0" w:type="auto"/>
          </w:tcPr>
          <w:p w14:paraId="3326F02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6.88 ± 0.04</w:t>
            </w:r>
          </w:p>
        </w:tc>
        <w:tc>
          <w:tcPr>
            <w:tcW w:w="0" w:type="auto"/>
          </w:tcPr>
          <w:p w14:paraId="00E3F63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69.00 ± 1.00</w:t>
            </w:r>
          </w:p>
        </w:tc>
        <w:tc>
          <w:tcPr>
            <w:tcW w:w="0" w:type="auto"/>
          </w:tcPr>
          <w:p w14:paraId="2850758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34.67 ± 0.58</w:t>
            </w:r>
          </w:p>
        </w:tc>
        <w:tc>
          <w:tcPr>
            <w:tcW w:w="0" w:type="auto"/>
          </w:tcPr>
          <w:p w14:paraId="252A9EE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2.93 ± 0.31</w:t>
            </w:r>
          </w:p>
        </w:tc>
        <w:tc>
          <w:tcPr>
            <w:tcW w:w="0" w:type="auto"/>
          </w:tcPr>
          <w:p w14:paraId="3E1754D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1.13 ± 0.15</w:t>
            </w:r>
          </w:p>
        </w:tc>
        <w:tc>
          <w:tcPr>
            <w:tcW w:w="0" w:type="auto"/>
          </w:tcPr>
          <w:p w14:paraId="67B98BE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52.28 ± 16.88</w:t>
            </w:r>
          </w:p>
        </w:tc>
        <w:tc>
          <w:tcPr>
            <w:tcW w:w="0" w:type="auto"/>
          </w:tcPr>
          <w:p w14:paraId="224FC1B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0.111 ± 0.016</w:t>
            </w:r>
          </w:p>
        </w:tc>
        <w:tc>
          <w:tcPr>
            <w:tcW w:w="0" w:type="auto"/>
          </w:tcPr>
          <w:p w14:paraId="3557C54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0.245 ± 0.028</w:t>
            </w:r>
          </w:p>
        </w:tc>
        <w:tc>
          <w:tcPr>
            <w:tcW w:w="0" w:type="auto"/>
          </w:tcPr>
          <w:p w14:paraId="32369E6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14.60 ± 5.81</w:t>
            </w:r>
          </w:p>
        </w:tc>
        <w:tc>
          <w:tcPr>
            <w:tcW w:w="0" w:type="auto"/>
          </w:tcPr>
          <w:p w14:paraId="6498DF9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6.83 ± 0.16</w:t>
            </w:r>
          </w:p>
        </w:tc>
      </w:tr>
      <w:tr w:rsidR="009C14ED" w:rsidRPr="00F43C69" w14:paraId="39BA3835"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2E2969D4"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Opp. Water Board Marine Rd</w:t>
            </w:r>
          </w:p>
        </w:tc>
        <w:tc>
          <w:tcPr>
            <w:tcW w:w="0" w:type="auto"/>
          </w:tcPr>
          <w:p w14:paraId="4C9B563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29.00 ± 1.00</w:t>
            </w:r>
          </w:p>
        </w:tc>
        <w:tc>
          <w:tcPr>
            <w:tcW w:w="0" w:type="auto"/>
          </w:tcPr>
          <w:p w14:paraId="310E9B6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29.53 ± 0.25</w:t>
            </w:r>
          </w:p>
        </w:tc>
        <w:tc>
          <w:tcPr>
            <w:tcW w:w="0" w:type="auto"/>
          </w:tcPr>
          <w:p w14:paraId="2C58751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7.09 ± 0.03</w:t>
            </w:r>
          </w:p>
        </w:tc>
        <w:tc>
          <w:tcPr>
            <w:tcW w:w="0" w:type="auto"/>
          </w:tcPr>
          <w:p w14:paraId="4909C68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75.00 ± 1.00</w:t>
            </w:r>
          </w:p>
        </w:tc>
        <w:tc>
          <w:tcPr>
            <w:tcW w:w="0" w:type="auto"/>
          </w:tcPr>
          <w:p w14:paraId="3963708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37.00 ± 1.73</w:t>
            </w:r>
          </w:p>
        </w:tc>
        <w:tc>
          <w:tcPr>
            <w:tcW w:w="0" w:type="auto"/>
          </w:tcPr>
          <w:p w14:paraId="4072B52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2.83 ± 0.29</w:t>
            </w:r>
          </w:p>
        </w:tc>
        <w:tc>
          <w:tcPr>
            <w:tcW w:w="0" w:type="auto"/>
          </w:tcPr>
          <w:p w14:paraId="7CBC36E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1.47 ± 0.40</w:t>
            </w:r>
          </w:p>
        </w:tc>
        <w:tc>
          <w:tcPr>
            <w:tcW w:w="0" w:type="auto"/>
          </w:tcPr>
          <w:p w14:paraId="4474555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51.40 ± 15.64</w:t>
            </w:r>
          </w:p>
        </w:tc>
        <w:tc>
          <w:tcPr>
            <w:tcW w:w="0" w:type="auto"/>
          </w:tcPr>
          <w:p w14:paraId="234885D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0.135 ± 0.008</w:t>
            </w:r>
          </w:p>
        </w:tc>
        <w:tc>
          <w:tcPr>
            <w:tcW w:w="0" w:type="auto"/>
          </w:tcPr>
          <w:p w14:paraId="08CC320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0.273 ± 0.006</w:t>
            </w:r>
          </w:p>
        </w:tc>
        <w:tc>
          <w:tcPr>
            <w:tcW w:w="0" w:type="auto"/>
          </w:tcPr>
          <w:p w14:paraId="064AEE6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14.03 ± 0.15</w:t>
            </w:r>
          </w:p>
        </w:tc>
        <w:tc>
          <w:tcPr>
            <w:tcW w:w="0" w:type="auto"/>
          </w:tcPr>
          <w:p w14:paraId="3DDFBAE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9.10 ± 0.20</w:t>
            </w:r>
          </w:p>
        </w:tc>
      </w:tr>
      <w:tr w:rsidR="009C14ED" w:rsidRPr="00F43C69" w14:paraId="16746F25"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530495F3"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 xml:space="preserve">Behind </w:t>
            </w:r>
            <w:proofErr w:type="spellStart"/>
            <w:r w:rsidRPr="00F43C69">
              <w:rPr>
                <w:rFonts w:ascii="Times New Roman" w:eastAsia="SimSun" w:hAnsi="Times New Roman" w:cs="Times New Roman"/>
                <w:sz w:val="24"/>
                <w:szCs w:val="24"/>
                <w:lang w:bidi="ar"/>
              </w:rPr>
              <w:t>Jakuka</w:t>
            </w:r>
            <w:proofErr w:type="spellEnd"/>
            <w:r w:rsidRPr="00F43C69">
              <w:rPr>
                <w:rFonts w:ascii="Times New Roman" w:eastAsia="SimSun" w:hAnsi="Times New Roman" w:cs="Times New Roman"/>
                <w:sz w:val="24"/>
                <w:szCs w:val="24"/>
                <w:lang w:bidi="ar"/>
              </w:rPr>
              <w:t xml:space="preserve"> </w:t>
            </w:r>
            <w:proofErr w:type="spellStart"/>
            <w:r w:rsidRPr="00F43C69">
              <w:rPr>
                <w:rFonts w:ascii="Times New Roman" w:eastAsia="SimSun" w:hAnsi="Times New Roman" w:cs="Times New Roman"/>
                <w:sz w:val="24"/>
                <w:szCs w:val="24"/>
                <w:lang w:bidi="ar"/>
              </w:rPr>
              <w:t>Marbel</w:t>
            </w:r>
            <w:proofErr w:type="spellEnd"/>
            <w:r w:rsidRPr="00F43C69">
              <w:rPr>
                <w:rFonts w:ascii="Times New Roman" w:eastAsia="SimSun" w:hAnsi="Times New Roman" w:cs="Times New Roman"/>
                <w:sz w:val="24"/>
                <w:szCs w:val="24"/>
                <w:lang w:bidi="ar"/>
              </w:rPr>
              <w:t xml:space="preserve"> Rd</w:t>
            </w:r>
          </w:p>
        </w:tc>
        <w:tc>
          <w:tcPr>
            <w:tcW w:w="0" w:type="auto"/>
          </w:tcPr>
          <w:p w14:paraId="664F341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30.67 ± 1.15</w:t>
            </w:r>
          </w:p>
        </w:tc>
        <w:tc>
          <w:tcPr>
            <w:tcW w:w="0" w:type="auto"/>
          </w:tcPr>
          <w:p w14:paraId="77F46B4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30.57 ± 0.41</w:t>
            </w:r>
          </w:p>
        </w:tc>
        <w:tc>
          <w:tcPr>
            <w:tcW w:w="0" w:type="auto"/>
          </w:tcPr>
          <w:p w14:paraId="4D7A33C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w:t>
            </w:r>
          </w:p>
        </w:tc>
        <w:tc>
          <w:tcPr>
            <w:tcW w:w="0" w:type="auto"/>
          </w:tcPr>
          <w:p w14:paraId="4F28E61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156.33 ± 1.53</w:t>
            </w:r>
          </w:p>
        </w:tc>
        <w:tc>
          <w:tcPr>
            <w:tcW w:w="0" w:type="auto"/>
          </w:tcPr>
          <w:p w14:paraId="2973DB0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78.33 ± 0.58</w:t>
            </w:r>
          </w:p>
        </w:tc>
        <w:tc>
          <w:tcPr>
            <w:tcW w:w="0" w:type="auto"/>
          </w:tcPr>
          <w:p w14:paraId="2C273A4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2.63 ± 0.74</w:t>
            </w:r>
          </w:p>
        </w:tc>
        <w:tc>
          <w:tcPr>
            <w:tcW w:w="0" w:type="auto"/>
          </w:tcPr>
          <w:p w14:paraId="4F24CE2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1.27 ± 0.55</w:t>
            </w:r>
          </w:p>
        </w:tc>
        <w:tc>
          <w:tcPr>
            <w:tcW w:w="0" w:type="auto"/>
          </w:tcPr>
          <w:p w14:paraId="0314E07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53.20 ± 15.54</w:t>
            </w:r>
          </w:p>
        </w:tc>
        <w:tc>
          <w:tcPr>
            <w:tcW w:w="0" w:type="auto"/>
          </w:tcPr>
          <w:p w14:paraId="0A42FEC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0.137 ± 0.015</w:t>
            </w:r>
          </w:p>
        </w:tc>
        <w:tc>
          <w:tcPr>
            <w:tcW w:w="0" w:type="auto"/>
          </w:tcPr>
          <w:p w14:paraId="063847A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0.243 ± 0.051</w:t>
            </w:r>
          </w:p>
        </w:tc>
        <w:tc>
          <w:tcPr>
            <w:tcW w:w="0" w:type="auto"/>
          </w:tcPr>
          <w:p w14:paraId="3BCD7DD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10.63 ± 3.85</w:t>
            </w:r>
          </w:p>
        </w:tc>
        <w:tc>
          <w:tcPr>
            <w:tcW w:w="0" w:type="auto"/>
          </w:tcPr>
          <w:p w14:paraId="3CBA8AF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10.27 ± 0.31</w:t>
            </w:r>
          </w:p>
        </w:tc>
      </w:tr>
      <w:tr w:rsidR="009C14ED" w:rsidRPr="00F43C69" w14:paraId="1B35C662"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381DB49E"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Behind Naval Base Rd</w:t>
            </w:r>
          </w:p>
        </w:tc>
        <w:tc>
          <w:tcPr>
            <w:tcW w:w="0" w:type="auto"/>
          </w:tcPr>
          <w:p w14:paraId="3BFA5AB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30.00 ± 1.00</w:t>
            </w:r>
          </w:p>
        </w:tc>
        <w:tc>
          <w:tcPr>
            <w:tcW w:w="0" w:type="auto"/>
          </w:tcPr>
          <w:p w14:paraId="13DDB0B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30.37 ± 0.37</w:t>
            </w:r>
          </w:p>
        </w:tc>
        <w:tc>
          <w:tcPr>
            <w:tcW w:w="0" w:type="auto"/>
          </w:tcPr>
          <w:p w14:paraId="62E804A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7.35 ± 0.04</w:t>
            </w:r>
          </w:p>
        </w:tc>
        <w:tc>
          <w:tcPr>
            <w:tcW w:w="0" w:type="auto"/>
          </w:tcPr>
          <w:p w14:paraId="789E566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76.00 ± 3.00</w:t>
            </w:r>
          </w:p>
        </w:tc>
        <w:tc>
          <w:tcPr>
            <w:tcW w:w="0" w:type="auto"/>
          </w:tcPr>
          <w:p w14:paraId="4AFF8BF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38.00 ± 1.00</w:t>
            </w:r>
          </w:p>
        </w:tc>
        <w:tc>
          <w:tcPr>
            <w:tcW w:w="0" w:type="auto"/>
          </w:tcPr>
          <w:p w14:paraId="23D895C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3.20 ± 0.53</w:t>
            </w:r>
          </w:p>
        </w:tc>
        <w:tc>
          <w:tcPr>
            <w:tcW w:w="0" w:type="auto"/>
          </w:tcPr>
          <w:p w14:paraId="135DE78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1.00 ± 0.20</w:t>
            </w:r>
          </w:p>
        </w:tc>
        <w:tc>
          <w:tcPr>
            <w:tcW w:w="0" w:type="auto"/>
          </w:tcPr>
          <w:p w14:paraId="3D609B6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41.94 ± 13.74</w:t>
            </w:r>
          </w:p>
        </w:tc>
        <w:tc>
          <w:tcPr>
            <w:tcW w:w="0" w:type="auto"/>
          </w:tcPr>
          <w:p w14:paraId="0F38457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0.110 ± 0.049</w:t>
            </w:r>
          </w:p>
        </w:tc>
        <w:tc>
          <w:tcPr>
            <w:tcW w:w="0" w:type="auto"/>
          </w:tcPr>
          <w:p w14:paraId="3673180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0.190 ± 0.027</w:t>
            </w:r>
          </w:p>
        </w:tc>
        <w:tc>
          <w:tcPr>
            <w:tcW w:w="0" w:type="auto"/>
          </w:tcPr>
          <w:p w14:paraId="78FBA92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3.50 ± 1.50</w:t>
            </w:r>
          </w:p>
        </w:tc>
        <w:tc>
          <w:tcPr>
            <w:tcW w:w="0" w:type="auto"/>
          </w:tcPr>
          <w:p w14:paraId="3ED059F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7.93 ± 0.15</w:t>
            </w:r>
          </w:p>
        </w:tc>
      </w:tr>
      <w:tr w:rsidR="009C14ED" w:rsidRPr="00F43C69" w14:paraId="6FA71D65"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79D669C3"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 xml:space="preserve">Behind </w:t>
            </w:r>
            <w:proofErr w:type="spellStart"/>
            <w:r w:rsidRPr="00F43C69">
              <w:rPr>
                <w:rFonts w:ascii="Times New Roman" w:eastAsia="SimSun" w:hAnsi="Times New Roman" w:cs="Times New Roman"/>
                <w:sz w:val="24"/>
                <w:szCs w:val="24"/>
                <w:lang w:bidi="ar"/>
              </w:rPr>
              <w:t>Adankolo</w:t>
            </w:r>
            <w:proofErr w:type="spellEnd"/>
            <w:r w:rsidRPr="00F43C69">
              <w:rPr>
                <w:rFonts w:ascii="Times New Roman" w:eastAsia="SimSun" w:hAnsi="Times New Roman" w:cs="Times New Roman"/>
                <w:sz w:val="24"/>
                <w:szCs w:val="24"/>
                <w:lang w:bidi="ar"/>
              </w:rPr>
              <w:t xml:space="preserve"> Quarters</w:t>
            </w:r>
          </w:p>
        </w:tc>
        <w:tc>
          <w:tcPr>
            <w:tcW w:w="0" w:type="auto"/>
          </w:tcPr>
          <w:p w14:paraId="5DD2578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31.00 ± 1.00</w:t>
            </w:r>
          </w:p>
        </w:tc>
        <w:tc>
          <w:tcPr>
            <w:tcW w:w="0" w:type="auto"/>
          </w:tcPr>
          <w:p w14:paraId="6957B81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30.57 ± 0.41</w:t>
            </w:r>
          </w:p>
        </w:tc>
        <w:tc>
          <w:tcPr>
            <w:tcW w:w="0" w:type="auto"/>
          </w:tcPr>
          <w:p w14:paraId="40B9B12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7.33 ± 0.05</w:t>
            </w:r>
          </w:p>
        </w:tc>
        <w:tc>
          <w:tcPr>
            <w:tcW w:w="0" w:type="auto"/>
          </w:tcPr>
          <w:p w14:paraId="7F8B99D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80.67 ± 3.06</w:t>
            </w:r>
          </w:p>
        </w:tc>
        <w:tc>
          <w:tcPr>
            <w:tcW w:w="0" w:type="auto"/>
          </w:tcPr>
          <w:p w14:paraId="046D17A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40.33 ± 1.53</w:t>
            </w:r>
          </w:p>
        </w:tc>
        <w:tc>
          <w:tcPr>
            <w:tcW w:w="0" w:type="auto"/>
          </w:tcPr>
          <w:p w14:paraId="779D9C6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3.63 ± 0.21</w:t>
            </w:r>
          </w:p>
        </w:tc>
        <w:tc>
          <w:tcPr>
            <w:tcW w:w="0" w:type="auto"/>
          </w:tcPr>
          <w:p w14:paraId="30C80DE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1.10 ± 0.10</w:t>
            </w:r>
          </w:p>
        </w:tc>
        <w:tc>
          <w:tcPr>
            <w:tcW w:w="0" w:type="auto"/>
          </w:tcPr>
          <w:p w14:paraId="54609EC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50.66 ± 17.05</w:t>
            </w:r>
          </w:p>
        </w:tc>
        <w:tc>
          <w:tcPr>
            <w:tcW w:w="0" w:type="auto"/>
          </w:tcPr>
          <w:p w14:paraId="4096023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0.105 ± 0.011</w:t>
            </w:r>
          </w:p>
        </w:tc>
        <w:tc>
          <w:tcPr>
            <w:tcW w:w="0" w:type="auto"/>
          </w:tcPr>
          <w:p w14:paraId="3CD6F5B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0.241 ± 0.064</w:t>
            </w:r>
          </w:p>
        </w:tc>
        <w:tc>
          <w:tcPr>
            <w:tcW w:w="0" w:type="auto"/>
          </w:tcPr>
          <w:p w14:paraId="62FB005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5.47 ± 1.65</w:t>
            </w:r>
          </w:p>
        </w:tc>
        <w:tc>
          <w:tcPr>
            <w:tcW w:w="0" w:type="auto"/>
          </w:tcPr>
          <w:p w14:paraId="561C6D7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5.47 ± 0.41</w:t>
            </w:r>
          </w:p>
        </w:tc>
      </w:tr>
      <w:tr w:rsidR="009C14ED" w:rsidRPr="00F43C69" w14:paraId="04E74E1C"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1B17EEC2"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Ganaja</w:t>
            </w:r>
            <w:proofErr w:type="spellEnd"/>
            <w:r w:rsidRPr="00F43C69">
              <w:rPr>
                <w:rFonts w:ascii="Times New Roman" w:eastAsia="SimSun" w:hAnsi="Times New Roman" w:cs="Times New Roman"/>
                <w:sz w:val="24"/>
                <w:szCs w:val="24"/>
                <w:lang w:bidi="ar"/>
              </w:rPr>
              <w:t xml:space="preserve"> </w:t>
            </w:r>
            <w:proofErr w:type="spellStart"/>
            <w:r w:rsidRPr="00F43C69">
              <w:rPr>
                <w:rFonts w:ascii="Times New Roman" w:eastAsia="SimSun" w:hAnsi="Times New Roman" w:cs="Times New Roman"/>
                <w:sz w:val="24"/>
                <w:szCs w:val="24"/>
                <w:lang w:bidi="ar"/>
              </w:rPr>
              <w:t>Fari</w:t>
            </w:r>
            <w:proofErr w:type="spellEnd"/>
          </w:p>
        </w:tc>
        <w:tc>
          <w:tcPr>
            <w:tcW w:w="0" w:type="auto"/>
          </w:tcPr>
          <w:p w14:paraId="6F82CD1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29.67 ± 0.58</w:t>
            </w:r>
          </w:p>
        </w:tc>
        <w:tc>
          <w:tcPr>
            <w:tcW w:w="0" w:type="auto"/>
          </w:tcPr>
          <w:p w14:paraId="13EFD24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31.57 ± 0.41</w:t>
            </w:r>
          </w:p>
        </w:tc>
        <w:tc>
          <w:tcPr>
            <w:tcW w:w="0" w:type="auto"/>
          </w:tcPr>
          <w:p w14:paraId="274B4F8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7.09 ± 0.06</w:t>
            </w:r>
          </w:p>
        </w:tc>
        <w:tc>
          <w:tcPr>
            <w:tcW w:w="0" w:type="auto"/>
          </w:tcPr>
          <w:p w14:paraId="19BC9DA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82.67 ± 3.06</w:t>
            </w:r>
          </w:p>
        </w:tc>
        <w:tc>
          <w:tcPr>
            <w:tcW w:w="0" w:type="auto"/>
          </w:tcPr>
          <w:p w14:paraId="0F77E69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42.00 ± 2.00</w:t>
            </w:r>
          </w:p>
        </w:tc>
        <w:tc>
          <w:tcPr>
            <w:tcW w:w="0" w:type="auto"/>
          </w:tcPr>
          <w:p w14:paraId="3F2E92F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4.03 ± 0.78</w:t>
            </w:r>
          </w:p>
        </w:tc>
        <w:tc>
          <w:tcPr>
            <w:tcW w:w="0" w:type="auto"/>
          </w:tcPr>
          <w:p w14:paraId="4D53D7C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2.10 ± 0.36</w:t>
            </w:r>
          </w:p>
        </w:tc>
        <w:tc>
          <w:tcPr>
            <w:tcW w:w="0" w:type="auto"/>
          </w:tcPr>
          <w:p w14:paraId="74D2003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51.16 ± 13.20</w:t>
            </w:r>
          </w:p>
        </w:tc>
        <w:tc>
          <w:tcPr>
            <w:tcW w:w="0" w:type="auto"/>
          </w:tcPr>
          <w:p w14:paraId="26B317C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0.068 ± 0.009</w:t>
            </w:r>
          </w:p>
        </w:tc>
        <w:tc>
          <w:tcPr>
            <w:tcW w:w="0" w:type="auto"/>
          </w:tcPr>
          <w:p w14:paraId="0F761A9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0.318 ± 0.036</w:t>
            </w:r>
          </w:p>
        </w:tc>
        <w:tc>
          <w:tcPr>
            <w:tcW w:w="0" w:type="auto"/>
          </w:tcPr>
          <w:p w14:paraId="2E178BE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3.07 ± 0.70</w:t>
            </w:r>
          </w:p>
        </w:tc>
        <w:tc>
          <w:tcPr>
            <w:tcW w:w="0" w:type="auto"/>
          </w:tcPr>
          <w:p w14:paraId="78A586A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6.77 ± 0.25</w:t>
            </w:r>
          </w:p>
        </w:tc>
      </w:tr>
      <w:tr w:rsidR="009C14ED" w:rsidRPr="00F43C69" w14:paraId="7D9B6688"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25E3A131"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 xml:space="preserve">Behind </w:t>
            </w:r>
            <w:proofErr w:type="spellStart"/>
            <w:r w:rsidRPr="00F43C69">
              <w:rPr>
                <w:rFonts w:ascii="Times New Roman" w:eastAsia="SimSun" w:hAnsi="Times New Roman" w:cs="Times New Roman"/>
                <w:sz w:val="24"/>
                <w:szCs w:val="24"/>
                <w:lang w:bidi="ar"/>
              </w:rPr>
              <w:t>Ganaja</w:t>
            </w:r>
            <w:proofErr w:type="spellEnd"/>
            <w:r w:rsidRPr="00F43C69">
              <w:rPr>
                <w:rFonts w:ascii="Times New Roman" w:eastAsia="SimSun" w:hAnsi="Times New Roman" w:cs="Times New Roman"/>
                <w:sz w:val="24"/>
                <w:szCs w:val="24"/>
                <w:lang w:bidi="ar"/>
              </w:rPr>
              <w:t xml:space="preserve"> Water Board</w:t>
            </w:r>
          </w:p>
        </w:tc>
        <w:tc>
          <w:tcPr>
            <w:tcW w:w="0" w:type="auto"/>
          </w:tcPr>
          <w:p w14:paraId="600E828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30.00 ± 0.00</w:t>
            </w:r>
          </w:p>
        </w:tc>
        <w:tc>
          <w:tcPr>
            <w:tcW w:w="0" w:type="auto"/>
          </w:tcPr>
          <w:p w14:paraId="1E6BE65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31.50 ± 0.26</w:t>
            </w:r>
          </w:p>
        </w:tc>
        <w:tc>
          <w:tcPr>
            <w:tcW w:w="0" w:type="auto"/>
          </w:tcPr>
          <w:p w14:paraId="073447F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7.18 ± 0.06</w:t>
            </w:r>
          </w:p>
        </w:tc>
        <w:tc>
          <w:tcPr>
            <w:tcW w:w="0" w:type="auto"/>
          </w:tcPr>
          <w:p w14:paraId="3F5A954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84.00 ± 4.00</w:t>
            </w:r>
          </w:p>
        </w:tc>
        <w:tc>
          <w:tcPr>
            <w:tcW w:w="0" w:type="auto"/>
          </w:tcPr>
          <w:p w14:paraId="36B5410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42.67 ± 2.52</w:t>
            </w:r>
          </w:p>
        </w:tc>
        <w:tc>
          <w:tcPr>
            <w:tcW w:w="0" w:type="auto"/>
          </w:tcPr>
          <w:p w14:paraId="3898B77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3.13 ± 0.32</w:t>
            </w:r>
          </w:p>
        </w:tc>
        <w:tc>
          <w:tcPr>
            <w:tcW w:w="0" w:type="auto"/>
          </w:tcPr>
          <w:p w14:paraId="59EB362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1.30 ± 0.44</w:t>
            </w:r>
          </w:p>
        </w:tc>
        <w:tc>
          <w:tcPr>
            <w:tcW w:w="0" w:type="auto"/>
          </w:tcPr>
          <w:p w14:paraId="7AADB80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43.17 ± 15.67</w:t>
            </w:r>
          </w:p>
        </w:tc>
        <w:tc>
          <w:tcPr>
            <w:tcW w:w="0" w:type="auto"/>
          </w:tcPr>
          <w:p w14:paraId="3FFA696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0.131 ± 0.038</w:t>
            </w:r>
          </w:p>
        </w:tc>
        <w:tc>
          <w:tcPr>
            <w:tcW w:w="0" w:type="auto"/>
          </w:tcPr>
          <w:p w14:paraId="225F685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0.267 ± 0.010</w:t>
            </w:r>
          </w:p>
        </w:tc>
        <w:tc>
          <w:tcPr>
            <w:tcW w:w="0" w:type="auto"/>
          </w:tcPr>
          <w:p w14:paraId="3F5B033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6.73 ± 1.20</w:t>
            </w:r>
          </w:p>
        </w:tc>
        <w:tc>
          <w:tcPr>
            <w:tcW w:w="0" w:type="auto"/>
          </w:tcPr>
          <w:p w14:paraId="6A92132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9.06 ± 0.21</w:t>
            </w:r>
          </w:p>
        </w:tc>
      </w:tr>
      <w:tr w:rsidR="009C14ED" w:rsidRPr="00F43C69" w14:paraId="05702C29"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417378DE"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Ganaja</w:t>
            </w:r>
            <w:proofErr w:type="spellEnd"/>
            <w:r w:rsidRPr="00F43C69">
              <w:rPr>
                <w:rFonts w:ascii="Times New Roman" w:eastAsia="SimSun" w:hAnsi="Times New Roman" w:cs="Times New Roman"/>
                <w:sz w:val="24"/>
                <w:szCs w:val="24"/>
                <w:lang w:bidi="ar"/>
              </w:rPr>
              <w:t xml:space="preserve"> Mini </w:t>
            </w:r>
            <w:proofErr w:type="spellStart"/>
            <w:r w:rsidRPr="00F43C69">
              <w:rPr>
                <w:rFonts w:ascii="Times New Roman" w:eastAsia="SimSun" w:hAnsi="Times New Roman" w:cs="Times New Roman"/>
                <w:sz w:val="24"/>
                <w:szCs w:val="24"/>
                <w:lang w:bidi="ar"/>
              </w:rPr>
              <w:t>Abatoir</w:t>
            </w:r>
            <w:proofErr w:type="spellEnd"/>
          </w:p>
        </w:tc>
        <w:tc>
          <w:tcPr>
            <w:tcW w:w="0" w:type="auto"/>
          </w:tcPr>
          <w:p w14:paraId="37AB77D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29.67 ± 0.58</w:t>
            </w:r>
          </w:p>
        </w:tc>
        <w:tc>
          <w:tcPr>
            <w:tcW w:w="0" w:type="auto"/>
          </w:tcPr>
          <w:p w14:paraId="56C15B4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29.53 ± 0.31</w:t>
            </w:r>
          </w:p>
        </w:tc>
        <w:tc>
          <w:tcPr>
            <w:tcW w:w="0" w:type="auto"/>
          </w:tcPr>
          <w:p w14:paraId="7ED3EAA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7.31 ± 0.05</w:t>
            </w:r>
          </w:p>
        </w:tc>
        <w:tc>
          <w:tcPr>
            <w:tcW w:w="0" w:type="auto"/>
          </w:tcPr>
          <w:p w14:paraId="6E99901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85.33 ± 5.03</w:t>
            </w:r>
          </w:p>
        </w:tc>
        <w:tc>
          <w:tcPr>
            <w:tcW w:w="0" w:type="auto"/>
          </w:tcPr>
          <w:p w14:paraId="631CF02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67.33 ± 1.53</w:t>
            </w:r>
          </w:p>
        </w:tc>
        <w:tc>
          <w:tcPr>
            <w:tcW w:w="0" w:type="auto"/>
          </w:tcPr>
          <w:p w14:paraId="27E1A4C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3.40 ± 0.35</w:t>
            </w:r>
          </w:p>
        </w:tc>
        <w:tc>
          <w:tcPr>
            <w:tcW w:w="0" w:type="auto"/>
          </w:tcPr>
          <w:p w14:paraId="6ADFC63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1.57 ± 0.40</w:t>
            </w:r>
          </w:p>
        </w:tc>
        <w:tc>
          <w:tcPr>
            <w:tcW w:w="0" w:type="auto"/>
          </w:tcPr>
          <w:p w14:paraId="4B782B8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51.14 ± 16.43</w:t>
            </w:r>
          </w:p>
        </w:tc>
        <w:tc>
          <w:tcPr>
            <w:tcW w:w="0" w:type="auto"/>
          </w:tcPr>
          <w:p w14:paraId="0A61F1F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0.145 ± 0.009</w:t>
            </w:r>
          </w:p>
        </w:tc>
        <w:tc>
          <w:tcPr>
            <w:tcW w:w="0" w:type="auto"/>
          </w:tcPr>
          <w:p w14:paraId="5A76EC6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0.257 ± 0.022</w:t>
            </w:r>
          </w:p>
        </w:tc>
        <w:tc>
          <w:tcPr>
            <w:tcW w:w="0" w:type="auto"/>
          </w:tcPr>
          <w:p w14:paraId="06AA30A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9.63 ± 0.65</w:t>
            </w:r>
          </w:p>
        </w:tc>
        <w:tc>
          <w:tcPr>
            <w:tcW w:w="0" w:type="auto"/>
          </w:tcPr>
          <w:p w14:paraId="3DA9212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10.33 ± 0.19</w:t>
            </w:r>
          </w:p>
        </w:tc>
      </w:tr>
      <w:tr w:rsidR="009C14ED" w:rsidRPr="00F43C69" w14:paraId="20DC6863"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3FEFF80F"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Gadumo</w:t>
            </w:r>
            <w:proofErr w:type="spellEnd"/>
          </w:p>
        </w:tc>
        <w:tc>
          <w:tcPr>
            <w:tcW w:w="0" w:type="auto"/>
          </w:tcPr>
          <w:p w14:paraId="0E8ABBF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30.00 ± 0.00</w:t>
            </w:r>
          </w:p>
        </w:tc>
        <w:tc>
          <w:tcPr>
            <w:tcW w:w="0" w:type="auto"/>
          </w:tcPr>
          <w:p w14:paraId="0620C8D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29.83 ± 0.12</w:t>
            </w:r>
          </w:p>
        </w:tc>
        <w:tc>
          <w:tcPr>
            <w:tcW w:w="0" w:type="auto"/>
          </w:tcPr>
          <w:p w14:paraId="44661CE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7.29 ± 0.04</w:t>
            </w:r>
          </w:p>
        </w:tc>
        <w:tc>
          <w:tcPr>
            <w:tcW w:w="0" w:type="auto"/>
          </w:tcPr>
          <w:p w14:paraId="63C5BBD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134.33 ± 3.51</w:t>
            </w:r>
          </w:p>
        </w:tc>
        <w:tc>
          <w:tcPr>
            <w:tcW w:w="0" w:type="auto"/>
          </w:tcPr>
          <w:p w14:paraId="4A5FEE0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34.00 ± 1.00</w:t>
            </w:r>
          </w:p>
        </w:tc>
        <w:tc>
          <w:tcPr>
            <w:tcW w:w="0" w:type="auto"/>
          </w:tcPr>
          <w:p w14:paraId="523C790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2.43 ± 0.47</w:t>
            </w:r>
          </w:p>
        </w:tc>
        <w:tc>
          <w:tcPr>
            <w:tcW w:w="0" w:type="auto"/>
          </w:tcPr>
          <w:p w14:paraId="5AB5D26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0.93 ± 0.15</w:t>
            </w:r>
          </w:p>
        </w:tc>
        <w:tc>
          <w:tcPr>
            <w:tcW w:w="0" w:type="auto"/>
          </w:tcPr>
          <w:p w14:paraId="427EB3C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42.37 ± 14.94</w:t>
            </w:r>
          </w:p>
        </w:tc>
        <w:tc>
          <w:tcPr>
            <w:tcW w:w="0" w:type="auto"/>
          </w:tcPr>
          <w:p w14:paraId="118DF96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0.144 ± 0.009</w:t>
            </w:r>
          </w:p>
        </w:tc>
        <w:tc>
          <w:tcPr>
            <w:tcW w:w="0" w:type="auto"/>
          </w:tcPr>
          <w:p w14:paraId="542B57C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0.270 ± 0.003</w:t>
            </w:r>
          </w:p>
        </w:tc>
        <w:tc>
          <w:tcPr>
            <w:tcW w:w="0" w:type="auto"/>
          </w:tcPr>
          <w:p w14:paraId="6B16749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50.13 ± 66.3</w:t>
            </w:r>
          </w:p>
        </w:tc>
        <w:tc>
          <w:tcPr>
            <w:tcW w:w="0" w:type="auto"/>
          </w:tcPr>
          <w:p w14:paraId="2311384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8.00 ± 0.10</w:t>
            </w:r>
          </w:p>
        </w:tc>
      </w:tr>
      <w:tr w:rsidR="009C14ED" w:rsidRPr="00F43C69" w14:paraId="7D8CE282"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2CF65AD7"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lastRenderedPageBreak/>
              <w:t>Jimgbe</w:t>
            </w:r>
            <w:proofErr w:type="spellEnd"/>
            <w:r w:rsidRPr="00F43C69">
              <w:rPr>
                <w:rFonts w:ascii="Times New Roman" w:eastAsia="SimSun" w:hAnsi="Times New Roman" w:cs="Times New Roman"/>
                <w:sz w:val="24"/>
                <w:szCs w:val="24"/>
                <w:lang w:bidi="ar"/>
              </w:rPr>
              <w:t xml:space="preserve"> Beach Point 1</w:t>
            </w:r>
          </w:p>
        </w:tc>
        <w:tc>
          <w:tcPr>
            <w:tcW w:w="0" w:type="auto"/>
          </w:tcPr>
          <w:p w14:paraId="05FC03B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28.33 ± 2.08</w:t>
            </w:r>
          </w:p>
        </w:tc>
        <w:tc>
          <w:tcPr>
            <w:tcW w:w="0" w:type="auto"/>
          </w:tcPr>
          <w:p w14:paraId="36C44FE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29.93 ± 0.15</w:t>
            </w:r>
          </w:p>
        </w:tc>
        <w:tc>
          <w:tcPr>
            <w:tcW w:w="0" w:type="auto"/>
          </w:tcPr>
          <w:p w14:paraId="2C362E7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6.96 ± 0.21</w:t>
            </w:r>
          </w:p>
        </w:tc>
        <w:tc>
          <w:tcPr>
            <w:tcW w:w="0" w:type="auto"/>
          </w:tcPr>
          <w:p w14:paraId="1CDFAFE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67.67 ± 2.52</w:t>
            </w:r>
          </w:p>
        </w:tc>
        <w:tc>
          <w:tcPr>
            <w:tcW w:w="0" w:type="auto"/>
          </w:tcPr>
          <w:p w14:paraId="4659D07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33.00 ± 1.00</w:t>
            </w:r>
          </w:p>
        </w:tc>
        <w:tc>
          <w:tcPr>
            <w:tcW w:w="0" w:type="auto"/>
          </w:tcPr>
          <w:p w14:paraId="7AF6098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2.73 ± 0.25</w:t>
            </w:r>
          </w:p>
        </w:tc>
        <w:tc>
          <w:tcPr>
            <w:tcW w:w="0" w:type="auto"/>
          </w:tcPr>
          <w:p w14:paraId="7319664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1.60 ± 0.78</w:t>
            </w:r>
          </w:p>
        </w:tc>
        <w:tc>
          <w:tcPr>
            <w:tcW w:w="0" w:type="auto"/>
          </w:tcPr>
          <w:p w14:paraId="4717385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42.61 ± 15.64</w:t>
            </w:r>
          </w:p>
        </w:tc>
        <w:tc>
          <w:tcPr>
            <w:tcW w:w="0" w:type="auto"/>
          </w:tcPr>
          <w:p w14:paraId="41D690C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0.119 ± 0.015</w:t>
            </w:r>
          </w:p>
        </w:tc>
        <w:tc>
          <w:tcPr>
            <w:tcW w:w="0" w:type="auto"/>
          </w:tcPr>
          <w:p w14:paraId="0E5715D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0.127 ± 0.014</w:t>
            </w:r>
          </w:p>
        </w:tc>
        <w:tc>
          <w:tcPr>
            <w:tcW w:w="0" w:type="auto"/>
          </w:tcPr>
          <w:p w14:paraId="1156034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7.67 ± 0.50</w:t>
            </w:r>
          </w:p>
        </w:tc>
        <w:tc>
          <w:tcPr>
            <w:tcW w:w="0" w:type="auto"/>
          </w:tcPr>
          <w:p w14:paraId="7522956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9.20 ± 0.29</w:t>
            </w:r>
          </w:p>
        </w:tc>
      </w:tr>
      <w:tr w:rsidR="009C14ED" w:rsidRPr="00F43C69" w14:paraId="339427C2"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7CED23CD"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Jimgbe</w:t>
            </w:r>
            <w:proofErr w:type="spellEnd"/>
            <w:r w:rsidRPr="00F43C69">
              <w:rPr>
                <w:rFonts w:ascii="Times New Roman" w:eastAsia="SimSun" w:hAnsi="Times New Roman" w:cs="Times New Roman"/>
                <w:sz w:val="24"/>
                <w:szCs w:val="24"/>
                <w:lang w:bidi="ar"/>
              </w:rPr>
              <w:t xml:space="preserve"> Beach Point 2</w:t>
            </w:r>
          </w:p>
        </w:tc>
        <w:tc>
          <w:tcPr>
            <w:tcW w:w="0" w:type="auto"/>
          </w:tcPr>
          <w:p w14:paraId="02AC894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28.33 ± 0.58</w:t>
            </w:r>
          </w:p>
        </w:tc>
        <w:tc>
          <w:tcPr>
            <w:tcW w:w="0" w:type="auto"/>
          </w:tcPr>
          <w:p w14:paraId="4506A2B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30.53 ± 0.25</w:t>
            </w:r>
          </w:p>
        </w:tc>
        <w:tc>
          <w:tcPr>
            <w:tcW w:w="0" w:type="auto"/>
          </w:tcPr>
          <w:p w14:paraId="6870DE4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6.86 ± 0.05</w:t>
            </w:r>
          </w:p>
        </w:tc>
        <w:tc>
          <w:tcPr>
            <w:tcW w:w="0" w:type="auto"/>
          </w:tcPr>
          <w:p w14:paraId="4CA6812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65.67 ± 2.52</w:t>
            </w:r>
          </w:p>
        </w:tc>
        <w:tc>
          <w:tcPr>
            <w:tcW w:w="0" w:type="auto"/>
          </w:tcPr>
          <w:p w14:paraId="0B191F5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33.00 ± 2.00</w:t>
            </w:r>
          </w:p>
        </w:tc>
        <w:tc>
          <w:tcPr>
            <w:tcW w:w="0" w:type="auto"/>
          </w:tcPr>
          <w:p w14:paraId="33C4396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2.47 ± 0.45</w:t>
            </w:r>
          </w:p>
        </w:tc>
        <w:tc>
          <w:tcPr>
            <w:tcW w:w="0" w:type="auto"/>
          </w:tcPr>
          <w:p w14:paraId="2FD63C2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0.80 ± 0.26</w:t>
            </w:r>
          </w:p>
        </w:tc>
        <w:tc>
          <w:tcPr>
            <w:tcW w:w="0" w:type="auto"/>
          </w:tcPr>
          <w:p w14:paraId="706F077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41.31 ± 15.06</w:t>
            </w:r>
          </w:p>
        </w:tc>
        <w:tc>
          <w:tcPr>
            <w:tcW w:w="0" w:type="auto"/>
          </w:tcPr>
          <w:p w14:paraId="5330FA6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0.076 ± 0.010</w:t>
            </w:r>
          </w:p>
        </w:tc>
        <w:tc>
          <w:tcPr>
            <w:tcW w:w="0" w:type="auto"/>
          </w:tcPr>
          <w:p w14:paraId="5721236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0.135 ± 0.018</w:t>
            </w:r>
          </w:p>
        </w:tc>
        <w:tc>
          <w:tcPr>
            <w:tcW w:w="0" w:type="auto"/>
          </w:tcPr>
          <w:p w14:paraId="199A1CA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7.07 ± 0.30</w:t>
            </w:r>
          </w:p>
        </w:tc>
        <w:tc>
          <w:tcPr>
            <w:tcW w:w="0" w:type="auto"/>
          </w:tcPr>
          <w:p w14:paraId="117E252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9.36 ± 0.33</w:t>
            </w:r>
          </w:p>
        </w:tc>
      </w:tr>
      <w:tr w:rsidR="009C14ED" w:rsidRPr="00F43C69" w14:paraId="406DC85B"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4912777D"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Jimgbe</w:t>
            </w:r>
            <w:proofErr w:type="spellEnd"/>
            <w:r w:rsidRPr="00F43C69">
              <w:rPr>
                <w:rFonts w:ascii="Times New Roman" w:eastAsia="SimSun" w:hAnsi="Times New Roman" w:cs="Times New Roman"/>
                <w:sz w:val="24"/>
                <w:szCs w:val="24"/>
                <w:lang w:bidi="ar"/>
              </w:rPr>
              <w:t xml:space="preserve"> Beach Point 3</w:t>
            </w:r>
          </w:p>
        </w:tc>
        <w:tc>
          <w:tcPr>
            <w:tcW w:w="0" w:type="auto"/>
          </w:tcPr>
          <w:p w14:paraId="6808738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29.00 ± 1.00</w:t>
            </w:r>
          </w:p>
        </w:tc>
        <w:tc>
          <w:tcPr>
            <w:tcW w:w="0" w:type="auto"/>
          </w:tcPr>
          <w:p w14:paraId="46FF1F6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30.40 ± 0.20</w:t>
            </w:r>
          </w:p>
        </w:tc>
        <w:tc>
          <w:tcPr>
            <w:tcW w:w="0" w:type="auto"/>
          </w:tcPr>
          <w:p w14:paraId="2160D17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6.91 ± 0.04</w:t>
            </w:r>
          </w:p>
        </w:tc>
        <w:tc>
          <w:tcPr>
            <w:tcW w:w="0" w:type="auto"/>
          </w:tcPr>
          <w:p w14:paraId="3C213AD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66.00 ± 4.00</w:t>
            </w:r>
          </w:p>
        </w:tc>
        <w:tc>
          <w:tcPr>
            <w:tcW w:w="0" w:type="auto"/>
          </w:tcPr>
          <w:p w14:paraId="3AB8494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1.53</w:t>
            </w:r>
          </w:p>
        </w:tc>
        <w:tc>
          <w:tcPr>
            <w:tcW w:w="0" w:type="auto"/>
          </w:tcPr>
          <w:p w14:paraId="69AFC48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3.27 ± 0.35</w:t>
            </w:r>
          </w:p>
        </w:tc>
        <w:tc>
          <w:tcPr>
            <w:tcW w:w="0" w:type="auto"/>
          </w:tcPr>
          <w:p w14:paraId="5C5136E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1.37 ± 0.32</w:t>
            </w:r>
          </w:p>
        </w:tc>
        <w:tc>
          <w:tcPr>
            <w:tcW w:w="0" w:type="auto"/>
          </w:tcPr>
          <w:p w14:paraId="5F84C99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33.63 ± 1.12</w:t>
            </w:r>
          </w:p>
        </w:tc>
        <w:tc>
          <w:tcPr>
            <w:tcW w:w="0" w:type="auto"/>
          </w:tcPr>
          <w:p w14:paraId="4787FCF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0.134 ± 0.005</w:t>
            </w:r>
          </w:p>
        </w:tc>
        <w:tc>
          <w:tcPr>
            <w:tcW w:w="0" w:type="auto"/>
          </w:tcPr>
          <w:p w14:paraId="24795E2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0.145 ± 0.019</w:t>
            </w:r>
          </w:p>
        </w:tc>
        <w:tc>
          <w:tcPr>
            <w:tcW w:w="0" w:type="auto"/>
          </w:tcPr>
          <w:p w14:paraId="774B403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6.30 ± 0.56</w:t>
            </w:r>
          </w:p>
        </w:tc>
        <w:tc>
          <w:tcPr>
            <w:tcW w:w="0" w:type="auto"/>
          </w:tcPr>
          <w:p w14:paraId="2D905E4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6.73 ± 0.32</w:t>
            </w:r>
          </w:p>
        </w:tc>
      </w:tr>
      <w:tr w:rsidR="009C14ED" w:rsidRPr="00F43C69" w14:paraId="731AF18D"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4113B33D"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Ohono</w:t>
            </w:r>
            <w:proofErr w:type="spellEnd"/>
            <w:r w:rsidRPr="00F43C69">
              <w:rPr>
                <w:rFonts w:ascii="Times New Roman" w:eastAsia="SimSun" w:hAnsi="Times New Roman" w:cs="Times New Roman"/>
                <w:sz w:val="24"/>
                <w:szCs w:val="24"/>
                <w:lang w:bidi="ar"/>
              </w:rPr>
              <w:t xml:space="preserve"> Point 1</w:t>
            </w:r>
          </w:p>
        </w:tc>
        <w:tc>
          <w:tcPr>
            <w:tcW w:w="0" w:type="auto"/>
          </w:tcPr>
          <w:p w14:paraId="785D107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29.00 ± 1.00</w:t>
            </w:r>
          </w:p>
        </w:tc>
        <w:tc>
          <w:tcPr>
            <w:tcW w:w="0" w:type="auto"/>
          </w:tcPr>
          <w:p w14:paraId="21A0626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30.80 ± 0.10</w:t>
            </w:r>
          </w:p>
        </w:tc>
        <w:tc>
          <w:tcPr>
            <w:tcW w:w="0" w:type="auto"/>
          </w:tcPr>
          <w:p w14:paraId="70118AE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6.65 ± 0.02</w:t>
            </w:r>
          </w:p>
        </w:tc>
        <w:tc>
          <w:tcPr>
            <w:tcW w:w="0" w:type="auto"/>
          </w:tcPr>
          <w:p w14:paraId="1A97D7A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60.67 ± 3.06</w:t>
            </w:r>
          </w:p>
        </w:tc>
        <w:tc>
          <w:tcPr>
            <w:tcW w:w="0" w:type="auto"/>
          </w:tcPr>
          <w:p w14:paraId="5B95220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1.53</w:t>
            </w:r>
          </w:p>
        </w:tc>
        <w:tc>
          <w:tcPr>
            <w:tcW w:w="0" w:type="auto"/>
          </w:tcPr>
          <w:p w14:paraId="2CED4C1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2.00 ± 0.20</w:t>
            </w:r>
          </w:p>
        </w:tc>
        <w:tc>
          <w:tcPr>
            <w:tcW w:w="0" w:type="auto"/>
          </w:tcPr>
          <w:p w14:paraId="655ED7F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0.90 ± 0.10</w:t>
            </w:r>
          </w:p>
        </w:tc>
        <w:tc>
          <w:tcPr>
            <w:tcW w:w="0" w:type="auto"/>
          </w:tcPr>
          <w:p w14:paraId="53DBC3D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38.20 ± 4.52</w:t>
            </w:r>
          </w:p>
        </w:tc>
        <w:tc>
          <w:tcPr>
            <w:tcW w:w="0" w:type="auto"/>
          </w:tcPr>
          <w:p w14:paraId="00D0F6F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0.126 ± 0.034</w:t>
            </w:r>
          </w:p>
        </w:tc>
        <w:tc>
          <w:tcPr>
            <w:tcW w:w="0" w:type="auto"/>
          </w:tcPr>
          <w:p w14:paraId="12A5B64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0.179 ± 0.003</w:t>
            </w:r>
          </w:p>
        </w:tc>
        <w:tc>
          <w:tcPr>
            <w:tcW w:w="0" w:type="auto"/>
          </w:tcPr>
          <w:p w14:paraId="3832E80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9.20 ± 0.40</w:t>
            </w:r>
          </w:p>
        </w:tc>
        <w:tc>
          <w:tcPr>
            <w:tcW w:w="0" w:type="auto"/>
          </w:tcPr>
          <w:p w14:paraId="231646C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9.61 ± 0.15</w:t>
            </w:r>
          </w:p>
        </w:tc>
      </w:tr>
      <w:tr w:rsidR="009C14ED" w:rsidRPr="00F43C69" w14:paraId="76A3DC86"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697E95E0"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Ohono</w:t>
            </w:r>
            <w:proofErr w:type="spellEnd"/>
            <w:r w:rsidRPr="00F43C69">
              <w:rPr>
                <w:rFonts w:ascii="Times New Roman" w:eastAsia="SimSun" w:hAnsi="Times New Roman" w:cs="Times New Roman"/>
                <w:sz w:val="24"/>
                <w:szCs w:val="24"/>
                <w:lang w:bidi="ar"/>
              </w:rPr>
              <w:t xml:space="preserve"> Point 2</w:t>
            </w:r>
          </w:p>
        </w:tc>
        <w:tc>
          <w:tcPr>
            <w:tcW w:w="0" w:type="auto"/>
          </w:tcPr>
          <w:p w14:paraId="79F6B37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29.00 ± 1.00</w:t>
            </w:r>
          </w:p>
        </w:tc>
        <w:tc>
          <w:tcPr>
            <w:tcW w:w="0" w:type="auto"/>
          </w:tcPr>
          <w:p w14:paraId="4AE6491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30.63 ± 0.25</w:t>
            </w:r>
          </w:p>
        </w:tc>
        <w:tc>
          <w:tcPr>
            <w:tcW w:w="0" w:type="auto"/>
          </w:tcPr>
          <w:p w14:paraId="0E108BC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7.30 ± 0.04</w:t>
            </w:r>
          </w:p>
        </w:tc>
        <w:tc>
          <w:tcPr>
            <w:tcW w:w="0" w:type="auto"/>
          </w:tcPr>
          <w:p w14:paraId="5484A54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139.33 ± 1.53</w:t>
            </w:r>
          </w:p>
        </w:tc>
        <w:tc>
          <w:tcPr>
            <w:tcW w:w="0" w:type="auto"/>
          </w:tcPr>
          <w:p w14:paraId="0DD0DF3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70.00 ± 1.00</w:t>
            </w:r>
          </w:p>
        </w:tc>
        <w:tc>
          <w:tcPr>
            <w:tcW w:w="0" w:type="auto"/>
          </w:tcPr>
          <w:p w14:paraId="78EF3A2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2.60 ± 0.20</w:t>
            </w:r>
          </w:p>
        </w:tc>
        <w:tc>
          <w:tcPr>
            <w:tcW w:w="0" w:type="auto"/>
          </w:tcPr>
          <w:p w14:paraId="3819CEE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1.07 ± 0.06</w:t>
            </w:r>
          </w:p>
        </w:tc>
        <w:tc>
          <w:tcPr>
            <w:tcW w:w="0" w:type="auto"/>
          </w:tcPr>
          <w:p w14:paraId="03BF14B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44.56 ± 13.39</w:t>
            </w:r>
          </w:p>
        </w:tc>
        <w:tc>
          <w:tcPr>
            <w:tcW w:w="0" w:type="auto"/>
          </w:tcPr>
          <w:p w14:paraId="172D1A4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0.157 ± 0.005</w:t>
            </w:r>
          </w:p>
        </w:tc>
        <w:tc>
          <w:tcPr>
            <w:tcW w:w="0" w:type="auto"/>
          </w:tcPr>
          <w:p w14:paraId="2EA1258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0.148 ± 0.004</w:t>
            </w:r>
          </w:p>
        </w:tc>
        <w:tc>
          <w:tcPr>
            <w:tcW w:w="0" w:type="auto"/>
          </w:tcPr>
          <w:p w14:paraId="6E5CD95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11.63 ± 0.25</w:t>
            </w:r>
          </w:p>
        </w:tc>
        <w:tc>
          <w:tcPr>
            <w:tcW w:w="0" w:type="auto"/>
          </w:tcPr>
          <w:p w14:paraId="7AFC8FB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9.23 ± 0.32</w:t>
            </w:r>
          </w:p>
        </w:tc>
      </w:tr>
      <w:tr w:rsidR="009C14ED" w:rsidRPr="00F43C69" w14:paraId="73C29406"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4CC0128B"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Jamatta</w:t>
            </w:r>
            <w:proofErr w:type="spellEnd"/>
            <w:r w:rsidRPr="00F43C69">
              <w:rPr>
                <w:rFonts w:ascii="Times New Roman" w:eastAsia="SimSun" w:hAnsi="Times New Roman" w:cs="Times New Roman"/>
                <w:sz w:val="24"/>
                <w:szCs w:val="24"/>
                <w:lang w:bidi="ar"/>
              </w:rPr>
              <w:t xml:space="preserve"> Point 1</w:t>
            </w:r>
          </w:p>
        </w:tc>
        <w:tc>
          <w:tcPr>
            <w:tcW w:w="0" w:type="auto"/>
          </w:tcPr>
          <w:p w14:paraId="42909E2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1.53</w:t>
            </w:r>
          </w:p>
        </w:tc>
        <w:tc>
          <w:tcPr>
            <w:tcW w:w="0" w:type="auto"/>
          </w:tcPr>
          <w:p w14:paraId="18F30CC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29.53 ± 0.25</w:t>
            </w:r>
          </w:p>
        </w:tc>
        <w:tc>
          <w:tcPr>
            <w:tcW w:w="0" w:type="auto"/>
          </w:tcPr>
          <w:p w14:paraId="379F375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7.60 ± 0.11</w:t>
            </w:r>
          </w:p>
        </w:tc>
        <w:tc>
          <w:tcPr>
            <w:tcW w:w="0" w:type="auto"/>
          </w:tcPr>
          <w:p w14:paraId="2D39D2C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88.00 ± 2.00</w:t>
            </w:r>
          </w:p>
        </w:tc>
        <w:tc>
          <w:tcPr>
            <w:tcW w:w="0" w:type="auto"/>
          </w:tcPr>
          <w:p w14:paraId="11DB39F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44.00 ± 1.00</w:t>
            </w:r>
          </w:p>
        </w:tc>
        <w:tc>
          <w:tcPr>
            <w:tcW w:w="0" w:type="auto"/>
          </w:tcPr>
          <w:p w14:paraId="5EF2817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2.07 ± 0.31</w:t>
            </w:r>
          </w:p>
        </w:tc>
        <w:tc>
          <w:tcPr>
            <w:tcW w:w="0" w:type="auto"/>
          </w:tcPr>
          <w:p w14:paraId="4F00F4D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1.00 ± 0.10</w:t>
            </w:r>
          </w:p>
        </w:tc>
        <w:tc>
          <w:tcPr>
            <w:tcW w:w="0" w:type="auto"/>
          </w:tcPr>
          <w:p w14:paraId="07E47C5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43.09 ± 15.56</w:t>
            </w:r>
          </w:p>
        </w:tc>
        <w:tc>
          <w:tcPr>
            <w:tcW w:w="0" w:type="auto"/>
          </w:tcPr>
          <w:p w14:paraId="53E29BF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0.122 ± 0.036</w:t>
            </w:r>
          </w:p>
        </w:tc>
        <w:tc>
          <w:tcPr>
            <w:tcW w:w="0" w:type="auto"/>
          </w:tcPr>
          <w:p w14:paraId="34FDE62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0.158 ± 0.010</w:t>
            </w:r>
          </w:p>
        </w:tc>
        <w:tc>
          <w:tcPr>
            <w:tcW w:w="0" w:type="auto"/>
          </w:tcPr>
          <w:p w14:paraId="567C614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5.13 ± 0.42</w:t>
            </w:r>
          </w:p>
        </w:tc>
        <w:tc>
          <w:tcPr>
            <w:tcW w:w="0" w:type="auto"/>
          </w:tcPr>
          <w:p w14:paraId="0E7371C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7.75 ± 0.17</w:t>
            </w:r>
          </w:p>
        </w:tc>
      </w:tr>
      <w:tr w:rsidR="009C14ED" w:rsidRPr="00F43C69" w14:paraId="18AD0164"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3F9E38DE"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Jamatta</w:t>
            </w:r>
            <w:proofErr w:type="spellEnd"/>
            <w:r w:rsidRPr="00F43C69">
              <w:rPr>
                <w:rFonts w:ascii="Times New Roman" w:eastAsia="SimSun" w:hAnsi="Times New Roman" w:cs="Times New Roman"/>
                <w:sz w:val="24"/>
                <w:szCs w:val="24"/>
                <w:lang w:bidi="ar"/>
              </w:rPr>
              <w:t xml:space="preserve"> Point 2</w:t>
            </w:r>
          </w:p>
        </w:tc>
        <w:tc>
          <w:tcPr>
            <w:tcW w:w="0" w:type="auto"/>
          </w:tcPr>
          <w:p w14:paraId="1D2478C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30.33 ± 0.58</w:t>
            </w:r>
          </w:p>
        </w:tc>
        <w:tc>
          <w:tcPr>
            <w:tcW w:w="0" w:type="auto"/>
          </w:tcPr>
          <w:p w14:paraId="31A1246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30.80 ± 0.10</w:t>
            </w:r>
          </w:p>
        </w:tc>
        <w:tc>
          <w:tcPr>
            <w:tcW w:w="0" w:type="auto"/>
          </w:tcPr>
          <w:p w14:paraId="705D4EC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7.53 ± 0.07</w:t>
            </w:r>
          </w:p>
        </w:tc>
        <w:tc>
          <w:tcPr>
            <w:tcW w:w="0" w:type="auto"/>
          </w:tcPr>
          <w:p w14:paraId="48DB6FD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89.00 ± 1.00</w:t>
            </w:r>
          </w:p>
        </w:tc>
        <w:tc>
          <w:tcPr>
            <w:tcW w:w="0" w:type="auto"/>
          </w:tcPr>
          <w:p w14:paraId="2F10380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44.67 ± 0.58</w:t>
            </w:r>
          </w:p>
        </w:tc>
        <w:tc>
          <w:tcPr>
            <w:tcW w:w="0" w:type="auto"/>
          </w:tcPr>
          <w:p w14:paraId="1E46A3C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1.87 ± 0.42</w:t>
            </w:r>
          </w:p>
        </w:tc>
        <w:tc>
          <w:tcPr>
            <w:tcW w:w="0" w:type="auto"/>
          </w:tcPr>
          <w:p w14:paraId="54E2DEB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1.10 ± 0.10</w:t>
            </w:r>
          </w:p>
        </w:tc>
        <w:tc>
          <w:tcPr>
            <w:tcW w:w="0" w:type="auto"/>
          </w:tcPr>
          <w:p w14:paraId="175863E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52.76 ± 17.17</w:t>
            </w:r>
          </w:p>
        </w:tc>
        <w:tc>
          <w:tcPr>
            <w:tcW w:w="0" w:type="auto"/>
          </w:tcPr>
          <w:p w14:paraId="57E1B23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0.149 ± 0.004</w:t>
            </w:r>
          </w:p>
        </w:tc>
        <w:tc>
          <w:tcPr>
            <w:tcW w:w="0" w:type="auto"/>
          </w:tcPr>
          <w:p w14:paraId="57047D1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0.228 ± 0.055</w:t>
            </w:r>
          </w:p>
        </w:tc>
        <w:tc>
          <w:tcPr>
            <w:tcW w:w="0" w:type="auto"/>
          </w:tcPr>
          <w:p w14:paraId="7D0D64D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6.80 ± 0.20</w:t>
            </w:r>
          </w:p>
        </w:tc>
        <w:tc>
          <w:tcPr>
            <w:tcW w:w="0" w:type="auto"/>
          </w:tcPr>
          <w:p w14:paraId="5299DFB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8.69 ± 0.18</w:t>
            </w:r>
          </w:p>
        </w:tc>
      </w:tr>
      <w:tr w:rsidR="009C14ED" w:rsidRPr="00F43C69" w14:paraId="59FA04D9"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146AA208" w14:textId="77777777" w:rsidR="009C14ED" w:rsidRPr="00F43C69" w:rsidRDefault="003D643B">
            <w:pPr>
              <w:rPr>
                <w:rFonts w:ascii="Times New Roman" w:hAnsi="Times New Roman" w:cs="Times New Roman"/>
                <w:sz w:val="24"/>
                <w:szCs w:val="24"/>
              </w:rPr>
            </w:pPr>
            <w:proofErr w:type="spellStart"/>
            <w:r w:rsidRPr="00F43C69">
              <w:rPr>
                <w:rFonts w:ascii="Times New Roman" w:eastAsia="SimSun" w:hAnsi="Times New Roman" w:cs="Times New Roman"/>
                <w:sz w:val="24"/>
                <w:szCs w:val="24"/>
                <w:lang w:bidi="ar"/>
              </w:rPr>
              <w:t>Jamatta</w:t>
            </w:r>
            <w:proofErr w:type="spellEnd"/>
            <w:r w:rsidRPr="00F43C69">
              <w:rPr>
                <w:rFonts w:ascii="Times New Roman" w:eastAsia="SimSun" w:hAnsi="Times New Roman" w:cs="Times New Roman"/>
                <w:sz w:val="24"/>
                <w:szCs w:val="24"/>
                <w:lang w:bidi="ar"/>
              </w:rPr>
              <w:t xml:space="preserve"> Point 3</w:t>
            </w:r>
          </w:p>
        </w:tc>
        <w:tc>
          <w:tcPr>
            <w:tcW w:w="0" w:type="auto"/>
          </w:tcPr>
          <w:p w14:paraId="551DDA2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31.00 ± 1.00</w:t>
            </w:r>
          </w:p>
        </w:tc>
        <w:tc>
          <w:tcPr>
            <w:tcW w:w="0" w:type="auto"/>
          </w:tcPr>
          <w:p w14:paraId="6669746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30.83 ± 0.06</w:t>
            </w:r>
          </w:p>
        </w:tc>
        <w:tc>
          <w:tcPr>
            <w:tcW w:w="0" w:type="auto"/>
          </w:tcPr>
          <w:p w14:paraId="27585889"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7.68 ± 0.02</w:t>
            </w:r>
          </w:p>
        </w:tc>
        <w:tc>
          <w:tcPr>
            <w:tcW w:w="0" w:type="auto"/>
          </w:tcPr>
          <w:p w14:paraId="64B5AD4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86.00 ± 2.00</w:t>
            </w:r>
          </w:p>
        </w:tc>
        <w:tc>
          <w:tcPr>
            <w:tcW w:w="0" w:type="auto"/>
          </w:tcPr>
          <w:p w14:paraId="4BA2075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45.00 ± 1.00</w:t>
            </w:r>
          </w:p>
        </w:tc>
        <w:tc>
          <w:tcPr>
            <w:tcW w:w="0" w:type="auto"/>
          </w:tcPr>
          <w:p w14:paraId="65AF5AE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2.00 ± 0.20</w:t>
            </w:r>
          </w:p>
        </w:tc>
        <w:tc>
          <w:tcPr>
            <w:tcW w:w="0" w:type="auto"/>
          </w:tcPr>
          <w:p w14:paraId="2F8B6072"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0.90 ± 0.10</w:t>
            </w:r>
          </w:p>
        </w:tc>
        <w:tc>
          <w:tcPr>
            <w:tcW w:w="0" w:type="auto"/>
          </w:tcPr>
          <w:p w14:paraId="01A395D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42.67 ± 14.38</w:t>
            </w:r>
          </w:p>
        </w:tc>
        <w:tc>
          <w:tcPr>
            <w:tcW w:w="0" w:type="auto"/>
          </w:tcPr>
          <w:p w14:paraId="41DC4F0E"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0.150 ± 0.015</w:t>
            </w:r>
          </w:p>
        </w:tc>
        <w:tc>
          <w:tcPr>
            <w:tcW w:w="0" w:type="auto"/>
          </w:tcPr>
          <w:p w14:paraId="37FBBEB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0.232 ± 0.057</w:t>
            </w:r>
          </w:p>
        </w:tc>
        <w:tc>
          <w:tcPr>
            <w:tcW w:w="0" w:type="auto"/>
          </w:tcPr>
          <w:p w14:paraId="025F386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9.00 ± 0.26</w:t>
            </w:r>
          </w:p>
        </w:tc>
        <w:tc>
          <w:tcPr>
            <w:tcW w:w="0" w:type="auto"/>
          </w:tcPr>
          <w:p w14:paraId="49929FE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6.23 ± 0.26</w:t>
            </w:r>
          </w:p>
        </w:tc>
      </w:tr>
      <w:tr w:rsidR="009C14ED" w:rsidRPr="00F43C69" w14:paraId="6368B751" w14:textId="77777777" w:rsidTr="00BC1E77">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2A257E3A"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Murtala Bridge Point 1</w:t>
            </w:r>
          </w:p>
        </w:tc>
        <w:tc>
          <w:tcPr>
            <w:tcW w:w="0" w:type="auto"/>
          </w:tcPr>
          <w:p w14:paraId="1EE6425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30.67 ± 1.15</w:t>
            </w:r>
          </w:p>
        </w:tc>
        <w:tc>
          <w:tcPr>
            <w:tcW w:w="0" w:type="auto"/>
          </w:tcPr>
          <w:p w14:paraId="4260AE0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30.43 ± 0.25</w:t>
            </w:r>
          </w:p>
        </w:tc>
        <w:tc>
          <w:tcPr>
            <w:tcW w:w="0" w:type="auto"/>
          </w:tcPr>
          <w:p w14:paraId="4A87C6AA"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7.85 ± 0.13</w:t>
            </w:r>
          </w:p>
        </w:tc>
        <w:tc>
          <w:tcPr>
            <w:tcW w:w="0" w:type="auto"/>
          </w:tcPr>
          <w:p w14:paraId="0BDE052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90.00 ± 2.00</w:t>
            </w:r>
          </w:p>
        </w:tc>
        <w:tc>
          <w:tcPr>
            <w:tcW w:w="0" w:type="auto"/>
          </w:tcPr>
          <w:p w14:paraId="31AE621F"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45.00 ± 1.00</w:t>
            </w:r>
          </w:p>
        </w:tc>
        <w:tc>
          <w:tcPr>
            <w:tcW w:w="0" w:type="auto"/>
          </w:tcPr>
          <w:p w14:paraId="7B3D4143"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3.43 ± 0.25</w:t>
            </w:r>
          </w:p>
        </w:tc>
        <w:tc>
          <w:tcPr>
            <w:tcW w:w="0" w:type="auto"/>
          </w:tcPr>
          <w:p w14:paraId="4FA0426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1.10 ± 0.10</w:t>
            </w:r>
          </w:p>
        </w:tc>
        <w:tc>
          <w:tcPr>
            <w:tcW w:w="0" w:type="auto"/>
          </w:tcPr>
          <w:p w14:paraId="052B8F4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43.59 ± 14.97</w:t>
            </w:r>
          </w:p>
        </w:tc>
        <w:tc>
          <w:tcPr>
            <w:tcW w:w="0" w:type="auto"/>
          </w:tcPr>
          <w:p w14:paraId="108629F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0.109 ± 0.012</w:t>
            </w:r>
          </w:p>
        </w:tc>
        <w:tc>
          <w:tcPr>
            <w:tcW w:w="0" w:type="auto"/>
          </w:tcPr>
          <w:p w14:paraId="4B06E58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0.136 ± 0.004</w:t>
            </w:r>
          </w:p>
        </w:tc>
        <w:tc>
          <w:tcPr>
            <w:tcW w:w="0" w:type="auto"/>
          </w:tcPr>
          <w:p w14:paraId="700524A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10.20 ± 0.40</w:t>
            </w:r>
          </w:p>
        </w:tc>
        <w:tc>
          <w:tcPr>
            <w:tcW w:w="0" w:type="auto"/>
          </w:tcPr>
          <w:p w14:paraId="401B337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6.50 ± 0.34</w:t>
            </w:r>
          </w:p>
        </w:tc>
      </w:tr>
      <w:tr w:rsidR="009C14ED" w:rsidRPr="00F43C69" w14:paraId="63FF9C13" w14:textId="77777777" w:rsidTr="00BC1E77">
        <w:trPr>
          <w:trHeight w:val="619"/>
        </w:trPr>
        <w:tc>
          <w:tcPr>
            <w:cnfStyle w:val="001000000000" w:firstRow="0" w:lastRow="0" w:firstColumn="1" w:lastColumn="0" w:oddVBand="0" w:evenVBand="0" w:oddHBand="0" w:evenHBand="0" w:firstRowFirstColumn="0" w:firstRowLastColumn="0" w:lastRowFirstColumn="0" w:lastRowLastColumn="0"/>
            <w:tcW w:w="0" w:type="auto"/>
          </w:tcPr>
          <w:p w14:paraId="47D4578B" w14:textId="77777777" w:rsidR="009C14ED" w:rsidRPr="00F43C69" w:rsidRDefault="003D643B">
            <w:pPr>
              <w:rPr>
                <w:rFonts w:ascii="Times New Roman" w:hAnsi="Times New Roman" w:cs="Times New Roman"/>
                <w:sz w:val="24"/>
                <w:szCs w:val="24"/>
              </w:rPr>
            </w:pPr>
            <w:r w:rsidRPr="00F43C69">
              <w:rPr>
                <w:rFonts w:ascii="Times New Roman" w:eastAsia="SimSun" w:hAnsi="Times New Roman" w:cs="Times New Roman"/>
                <w:sz w:val="24"/>
                <w:szCs w:val="24"/>
                <w:lang w:bidi="ar"/>
              </w:rPr>
              <w:t>Murtala Bridge Point 2</w:t>
            </w:r>
          </w:p>
        </w:tc>
        <w:tc>
          <w:tcPr>
            <w:tcW w:w="0" w:type="auto"/>
          </w:tcPr>
          <w:p w14:paraId="37BA3627"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30.67 ± 1.15</w:t>
            </w:r>
          </w:p>
        </w:tc>
        <w:tc>
          <w:tcPr>
            <w:tcW w:w="0" w:type="auto"/>
          </w:tcPr>
          <w:p w14:paraId="7E96D248"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30.57 ± 0.35</w:t>
            </w:r>
          </w:p>
        </w:tc>
        <w:tc>
          <w:tcPr>
            <w:tcW w:w="0" w:type="auto"/>
          </w:tcPr>
          <w:p w14:paraId="616675F5"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7.95 ± 0.03</w:t>
            </w:r>
          </w:p>
        </w:tc>
        <w:tc>
          <w:tcPr>
            <w:tcW w:w="0" w:type="auto"/>
          </w:tcPr>
          <w:p w14:paraId="5351E251"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78.00 ± 2.00</w:t>
            </w:r>
          </w:p>
        </w:tc>
        <w:tc>
          <w:tcPr>
            <w:tcW w:w="0" w:type="auto"/>
          </w:tcPr>
          <w:p w14:paraId="5454786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37.33 ± 3.06</w:t>
            </w:r>
          </w:p>
        </w:tc>
        <w:tc>
          <w:tcPr>
            <w:tcW w:w="0" w:type="auto"/>
          </w:tcPr>
          <w:p w14:paraId="1E4D23BD"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3.70 ± 0.46</w:t>
            </w:r>
          </w:p>
        </w:tc>
        <w:tc>
          <w:tcPr>
            <w:tcW w:w="0" w:type="auto"/>
          </w:tcPr>
          <w:p w14:paraId="29BD5544"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1.43 ± 0.51</w:t>
            </w:r>
          </w:p>
        </w:tc>
        <w:tc>
          <w:tcPr>
            <w:tcW w:w="0" w:type="auto"/>
          </w:tcPr>
          <w:p w14:paraId="701A3D06"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61.70 ± 3.29</w:t>
            </w:r>
          </w:p>
        </w:tc>
        <w:tc>
          <w:tcPr>
            <w:tcW w:w="0" w:type="auto"/>
          </w:tcPr>
          <w:p w14:paraId="414A056B"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0.131 ± 0.003</w:t>
            </w:r>
          </w:p>
        </w:tc>
        <w:tc>
          <w:tcPr>
            <w:tcW w:w="0" w:type="auto"/>
          </w:tcPr>
          <w:p w14:paraId="2EE533E0"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0.189 ± 0.003</w:t>
            </w:r>
          </w:p>
        </w:tc>
        <w:tc>
          <w:tcPr>
            <w:tcW w:w="0" w:type="auto"/>
          </w:tcPr>
          <w:p w14:paraId="492F7A1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7.87 ± 0.25</w:t>
            </w:r>
          </w:p>
        </w:tc>
        <w:tc>
          <w:tcPr>
            <w:tcW w:w="0" w:type="auto"/>
          </w:tcPr>
          <w:p w14:paraId="4C0EDAEC" w14:textId="77777777" w:rsidR="009C14ED" w:rsidRPr="00F43C69" w:rsidRDefault="003D64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3C69">
              <w:rPr>
                <w:rFonts w:ascii="Times New Roman" w:eastAsia="SimSun" w:hAnsi="Times New Roman" w:cs="Times New Roman"/>
                <w:sz w:val="24"/>
                <w:szCs w:val="24"/>
                <w:lang w:bidi="ar"/>
              </w:rPr>
              <w:t>9.49 ± 0.36</w:t>
            </w:r>
          </w:p>
        </w:tc>
      </w:tr>
    </w:tbl>
    <w:p w14:paraId="44EBB82E" w14:textId="77777777" w:rsidR="00BC1E77" w:rsidRPr="00F43C69" w:rsidRDefault="003D643B" w:rsidP="00BC1E77">
      <w:pPr>
        <w:pStyle w:val="Heading3"/>
        <w:spacing w:before="100" w:after="100"/>
        <w:jc w:val="both"/>
        <w:rPr>
          <w:rFonts w:ascii="Times New Roman" w:hAnsi="Times New Roman" w:hint="default"/>
          <w:sz w:val="24"/>
          <w:szCs w:val="24"/>
        </w:rPr>
      </w:pPr>
      <w:r w:rsidRPr="00F43C69">
        <w:rPr>
          <w:rFonts w:ascii="Times New Roman" w:hAnsi="Times New Roman" w:hint="default"/>
          <w:sz w:val="24"/>
          <w:szCs w:val="24"/>
        </w:rPr>
        <w:t xml:space="preserve"> </w:t>
      </w:r>
    </w:p>
    <w:p w14:paraId="240BFE33" w14:textId="77777777" w:rsidR="00BC1E77" w:rsidRPr="00F43C69" w:rsidRDefault="00BC1E77">
      <w:pPr>
        <w:rPr>
          <w:rFonts w:ascii="Times New Roman" w:eastAsia="SimSun" w:hAnsi="Times New Roman" w:cs="Times New Roman"/>
          <w:b/>
          <w:bCs/>
          <w:sz w:val="24"/>
          <w:szCs w:val="24"/>
        </w:rPr>
      </w:pPr>
      <w:r w:rsidRPr="00F43C69">
        <w:rPr>
          <w:rFonts w:ascii="Times New Roman" w:hAnsi="Times New Roman"/>
          <w:sz w:val="24"/>
          <w:szCs w:val="24"/>
        </w:rPr>
        <w:br w:type="page"/>
      </w:r>
    </w:p>
    <w:p w14:paraId="7989B3CE" w14:textId="77777777" w:rsidR="00BC1E77" w:rsidRPr="00F43C69" w:rsidRDefault="00BC1E77" w:rsidP="00BC1E77">
      <w:pPr>
        <w:pStyle w:val="Heading3"/>
        <w:spacing w:before="100" w:after="100"/>
        <w:jc w:val="both"/>
        <w:rPr>
          <w:rFonts w:ascii="Times New Roman" w:hAnsi="Times New Roman" w:hint="default"/>
          <w:sz w:val="24"/>
          <w:szCs w:val="24"/>
        </w:rPr>
        <w:sectPr w:rsidR="00BC1E77" w:rsidRPr="00F43C69" w:rsidSect="00BC1E77">
          <w:pgSz w:w="16838" w:h="11906" w:orient="landscape"/>
          <w:pgMar w:top="1800" w:right="1440" w:bottom="1800" w:left="1440" w:header="720" w:footer="720" w:gutter="0"/>
          <w:cols w:space="720"/>
          <w:docGrid w:linePitch="360"/>
        </w:sectPr>
      </w:pPr>
    </w:p>
    <w:p w14:paraId="65C6C770" w14:textId="23B2F888" w:rsidR="009C14ED" w:rsidRPr="00F43C69" w:rsidRDefault="003D643B" w:rsidP="00E20657">
      <w:pPr>
        <w:pStyle w:val="Heading3"/>
        <w:spacing w:before="100" w:after="100"/>
        <w:jc w:val="both"/>
        <w:rPr>
          <w:rFonts w:ascii="Times New Roman" w:hAnsi="Times New Roman" w:hint="default"/>
          <w:b w:val="0"/>
          <w:bCs w:val="0"/>
          <w:sz w:val="24"/>
          <w:szCs w:val="24"/>
        </w:rPr>
      </w:pPr>
      <w:r w:rsidRPr="00F43C69">
        <w:rPr>
          <w:rFonts w:ascii="Times New Roman" w:hAnsi="Times New Roman" w:hint="default"/>
          <w:sz w:val="24"/>
          <w:szCs w:val="24"/>
        </w:rPr>
        <w:lastRenderedPageBreak/>
        <w:t>Physicochemical Characteristics of Surface Water</w:t>
      </w:r>
    </w:p>
    <w:p w14:paraId="7928A4F5" w14:textId="60E8E53C" w:rsidR="009C14ED" w:rsidRPr="00F43C69" w:rsidRDefault="003D643B" w:rsidP="00E20657">
      <w:pPr>
        <w:pStyle w:val="NormalWeb"/>
        <w:spacing w:line="480" w:lineRule="auto"/>
        <w:jc w:val="both"/>
      </w:pPr>
      <w:r w:rsidRPr="00F43C69">
        <w:t xml:space="preserve">The physicochemical characteristics of surface water across the twenty sampling stations showed noticeable spatial variability (Table </w:t>
      </w:r>
      <w:r w:rsidR="00E20657" w:rsidRPr="00F43C69">
        <w:t>4.1</w:t>
      </w:r>
      <w:r w:rsidRPr="00F43C69">
        <w:t xml:space="preserve">). Air temperature ranged from </w:t>
      </w:r>
      <w:r w:rsidRPr="00F43C69">
        <w:rPr>
          <w:rStyle w:val="Strong"/>
          <w:b w:val="0"/>
          <w:bCs w:val="0"/>
        </w:rPr>
        <w:t>28.33 ± 0.58 °C</w:t>
      </w:r>
      <w:r w:rsidRPr="00F43C69">
        <w:t xml:space="preserve"> at </w:t>
      </w:r>
      <w:proofErr w:type="spellStart"/>
      <w:r w:rsidRPr="00F43C69">
        <w:t>Jimgbe</w:t>
      </w:r>
      <w:proofErr w:type="spellEnd"/>
      <w:r w:rsidRPr="00F43C69">
        <w:t xml:space="preserve"> Beach Points to a maximum of </w:t>
      </w:r>
      <w:r w:rsidRPr="00F43C69">
        <w:rPr>
          <w:rStyle w:val="Strong"/>
          <w:b w:val="0"/>
          <w:bCs w:val="0"/>
        </w:rPr>
        <w:t>31.00 ± 1.00 °</w:t>
      </w:r>
      <w:proofErr w:type="spellStart"/>
      <w:r w:rsidRPr="00F43C69">
        <w:rPr>
          <w:rStyle w:val="Strong"/>
          <w:b w:val="0"/>
          <w:bCs w:val="0"/>
        </w:rPr>
        <w:t>C</w:t>
      </w:r>
      <w:r w:rsidRPr="00F43C69">
        <w:t xml:space="preserve"> at</w:t>
      </w:r>
      <w:proofErr w:type="spellEnd"/>
      <w:r w:rsidRPr="00F43C69">
        <w:t xml:space="preserve"> Behind </w:t>
      </w:r>
      <w:proofErr w:type="spellStart"/>
      <w:r w:rsidRPr="00F43C69">
        <w:t>Adankolo</w:t>
      </w:r>
      <w:proofErr w:type="spellEnd"/>
      <w:r w:rsidRPr="00F43C69">
        <w:t xml:space="preserve"> Quarters and </w:t>
      </w:r>
      <w:proofErr w:type="spellStart"/>
      <w:r w:rsidRPr="00F43C69">
        <w:t>Jamatta</w:t>
      </w:r>
      <w:proofErr w:type="spellEnd"/>
      <w:r w:rsidRPr="00F43C69">
        <w:t xml:space="preserve"> Point 3, reflecting minimal atmospheric variability during the sampling period. Water temperature followed a similar trend, varying between </w:t>
      </w:r>
      <w:r w:rsidRPr="00F43C69">
        <w:rPr>
          <w:rStyle w:val="Strong"/>
          <w:b w:val="0"/>
          <w:bCs w:val="0"/>
        </w:rPr>
        <w:t>29.53 ± 0.25 °C</w:t>
      </w:r>
      <w:r w:rsidRPr="00F43C69">
        <w:t xml:space="preserve"> and </w:t>
      </w:r>
      <w:r w:rsidRPr="00F43C69">
        <w:rPr>
          <w:rStyle w:val="Strong"/>
          <w:b w:val="0"/>
          <w:bCs w:val="0"/>
        </w:rPr>
        <w:t>31.57 ± 0.41 °C</w:t>
      </w:r>
      <w:r w:rsidRPr="00F43C69">
        <w:t xml:space="preserve">, with the highest values recorded at </w:t>
      </w:r>
      <w:proofErr w:type="spellStart"/>
      <w:r w:rsidRPr="00F43C69">
        <w:t>Ganaja</w:t>
      </w:r>
      <w:proofErr w:type="spellEnd"/>
      <w:r w:rsidRPr="00F43C69">
        <w:t xml:space="preserve"> </w:t>
      </w:r>
      <w:proofErr w:type="spellStart"/>
      <w:r w:rsidRPr="00F43C69">
        <w:t>Fari</w:t>
      </w:r>
      <w:proofErr w:type="spellEnd"/>
      <w:r w:rsidRPr="00F43C69">
        <w:t xml:space="preserve"> and Behind </w:t>
      </w:r>
      <w:proofErr w:type="spellStart"/>
      <w:r w:rsidRPr="00F43C69">
        <w:t>Ganaja</w:t>
      </w:r>
      <w:proofErr w:type="spellEnd"/>
      <w:r w:rsidRPr="00F43C69">
        <w:t xml:space="preserve"> Water Board. The relatively narrow temperature range suggests limited thermal pollution across the study area.</w:t>
      </w:r>
    </w:p>
    <w:p w14:paraId="6C8D630B" w14:textId="77777777" w:rsidR="009C14ED" w:rsidRPr="00F43C69" w:rsidRDefault="003D643B" w:rsidP="00E20657">
      <w:pPr>
        <w:pStyle w:val="NormalWeb"/>
        <w:spacing w:line="480" w:lineRule="auto"/>
        <w:jc w:val="both"/>
      </w:pPr>
      <w:r w:rsidRPr="00F43C69">
        <w:t xml:space="preserve">The pH values indicated slightly acidic to moderately alkaline conditions, ranging from </w:t>
      </w:r>
      <w:r w:rsidRPr="00F43C69">
        <w:rPr>
          <w:rStyle w:val="Strong"/>
          <w:b w:val="0"/>
          <w:bCs w:val="0"/>
        </w:rPr>
        <w:t>6.65 ± 0.02</w:t>
      </w:r>
      <w:r w:rsidRPr="00F43C69">
        <w:t xml:space="preserve"> at </w:t>
      </w:r>
      <w:proofErr w:type="spellStart"/>
      <w:r w:rsidRPr="00F43C69">
        <w:t>Ohono</w:t>
      </w:r>
      <w:proofErr w:type="spellEnd"/>
      <w:r w:rsidRPr="00F43C69">
        <w:t xml:space="preserve"> Point 1 to </w:t>
      </w:r>
      <w:r w:rsidRPr="00F43C69">
        <w:rPr>
          <w:rStyle w:val="Strong"/>
          <w:b w:val="0"/>
          <w:bCs w:val="0"/>
        </w:rPr>
        <w:t>7.95 ± 0.03</w:t>
      </w:r>
      <w:r w:rsidRPr="00F43C69">
        <w:t xml:space="preserve"> at Murtala Bridge Point 2. Most stations exhibited near-neutral pH, which is generally favorable for aquatic life. However, slightly acidic conditions observed at </w:t>
      </w:r>
      <w:proofErr w:type="spellStart"/>
      <w:r w:rsidRPr="00F43C69">
        <w:t>Ohono</w:t>
      </w:r>
      <w:proofErr w:type="spellEnd"/>
      <w:r w:rsidRPr="00F43C69">
        <w:t xml:space="preserve"> and </w:t>
      </w:r>
      <w:proofErr w:type="spellStart"/>
      <w:r w:rsidRPr="00F43C69">
        <w:t>Jimgbe</w:t>
      </w:r>
      <w:proofErr w:type="spellEnd"/>
      <w:r w:rsidRPr="00F43C69">
        <w:t xml:space="preserve"> stations may reflect localized organic inputs or runoff influences.</w:t>
      </w:r>
    </w:p>
    <w:p w14:paraId="3817A8CB" w14:textId="77777777" w:rsidR="009C14ED" w:rsidRPr="00F43C69" w:rsidRDefault="003D643B" w:rsidP="00E20657">
      <w:pPr>
        <w:pStyle w:val="NormalWeb"/>
        <w:spacing w:line="480" w:lineRule="auto"/>
        <w:jc w:val="both"/>
      </w:pPr>
      <w:r w:rsidRPr="00F43C69">
        <w:t xml:space="preserve">Electrical conductivity (EC) and total dissolved solids (TDS) showed considerable spatial variation, indicating differences in ionic composition and solute load. EC values ranged from </w:t>
      </w:r>
      <w:r w:rsidRPr="00F43C69">
        <w:rPr>
          <w:rStyle w:val="Strong"/>
          <w:b w:val="0"/>
          <w:bCs w:val="0"/>
        </w:rPr>
        <w:t>60.67 ± 3.06 µS/cm</w:t>
      </w:r>
      <w:r w:rsidRPr="00F43C69">
        <w:t xml:space="preserve"> at </w:t>
      </w:r>
      <w:proofErr w:type="spellStart"/>
      <w:r w:rsidRPr="00F43C69">
        <w:t>Ohono</w:t>
      </w:r>
      <w:proofErr w:type="spellEnd"/>
      <w:r w:rsidRPr="00F43C69">
        <w:t xml:space="preserve"> Point 1 to </w:t>
      </w:r>
      <w:r w:rsidRPr="00F43C69">
        <w:rPr>
          <w:rStyle w:val="Strong"/>
          <w:b w:val="0"/>
          <w:bCs w:val="0"/>
        </w:rPr>
        <w:t>156.33 ± 1.53 µS/cm</w:t>
      </w:r>
      <w:r w:rsidRPr="00F43C69">
        <w:t xml:space="preserve"> behind </w:t>
      </w:r>
      <w:proofErr w:type="spellStart"/>
      <w:r w:rsidRPr="00F43C69">
        <w:t>Jakuka</w:t>
      </w:r>
      <w:proofErr w:type="spellEnd"/>
      <w:r w:rsidRPr="00F43C69">
        <w:t xml:space="preserve"> </w:t>
      </w:r>
      <w:proofErr w:type="spellStart"/>
      <w:r w:rsidRPr="00F43C69">
        <w:t>Marbel</w:t>
      </w:r>
      <w:proofErr w:type="spellEnd"/>
      <w:r w:rsidRPr="00F43C69">
        <w:t xml:space="preserve"> Road. Correspondingly, TDS values varied between </w:t>
      </w:r>
      <w:r w:rsidRPr="00F43C69">
        <w:rPr>
          <w:rStyle w:val="Strong"/>
          <w:b w:val="0"/>
          <w:bCs w:val="0"/>
        </w:rPr>
        <w:t>30.33 ± 1.53 mg/L</w:t>
      </w:r>
      <w:r w:rsidRPr="00F43C69">
        <w:t xml:space="preserve"> and </w:t>
      </w:r>
      <w:r w:rsidRPr="00F43C69">
        <w:rPr>
          <w:rStyle w:val="Strong"/>
          <w:b w:val="0"/>
          <w:bCs w:val="0"/>
        </w:rPr>
        <w:t>78.33 ± 0.58 mg/L</w:t>
      </w:r>
      <w:r w:rsidRPr="00F43C69">
        <w:t xml:space="preserve">, with elevated concentrations recorded at industrial or high-activity locations such as Behind </w:t>
      </w:r>
      <w:proofErr w:type="spellStart"/>
      <w:r w:rsidRPr="00F43C69">
        <w:t>Jakuka</w:t>
      </w:r>
      <w:proofErr w:type="spellEnd"/>
      <w:r w:rsidRPr="00F43C69">
        <w:t xml:space="preserve"> </w:t>
      </w:r>
      <w:proofErr w:type="spellStart"/>
      <w:r w:rsidRPr="00F43C69">
        <w:t>Marbel</w:t>
      </w:r>
      <w:proofErr w:type="spellEnd"/>
      <w:r w:rsidRPr="00F43C69">
        <w:t xml:space="preserve"> Road, </w:t>
      </w:r>
      <w:proofErr w:type="spellStart"/>
      <w:r w:rsidRPr="00F43C69">
        <w:t>Ganaja</w:t>
      </w:r>
      <w:proofErr w:type="spellEnd"/>
      <w:r w:rsidRPr="00F43C69">
        <w:t xml:space="preserve"> Mini Abattoir, and </w:t>
      </w:r>
      <w:proofErr w:type="spellStart"/>
      <w:r w:rsidRPr="00F43C69">
        <w:t>Ohono</w:t>
      </w:r>
      <w:proofErr w:type="spellEnd"/>
      <w:r w:rsidRPr="00F43C69">
        <w:t xml:space="preserve"> Point 2. This suggests anthropogenic influence, likely from effluent discharge and surface runoff.</w:t>
      </w:r>
    </w:p>
    <w:p w14:paraId="1F389097" w14:textId="77777777" w:rsidR="009C14ED" w:rsidRPr="00F43C69" w:rsidRDefault="003D643B" w:rsidP="00E20657">
      <w:pPr>
        <w:pStyle w:val="NormalWeb"/>
        <w:spacing w:line="480" w:lineRule="auto"/>
        <w:jc w:val="both"/>
      </w:pPr>
      <w:r w:rsidRPr="00F43C69">
        <w:t xml:space="preserve">Dissolved oxygen (DO) concentrations ranged from </w:t>
      </w:r>
      <w:r w:rsidRPr="00F43C69">
        <w:rPr>
          <w:rStyle w:val="Strong"/>
          <w:b w:val="0"/>
          <w:bCs w:val="0"/>
        </w:rPr>
        <w:t>1.87 ± 0.42 mg/L</w:t>
      </w:r>
      <w:r w:rsidRPr="00F43C69">
        <w:t xml:space="preserve"> at </w:t>
      </w:r>
      <w:proofErr w:type="spellStart"/>
      <w:r w:rsidRPr="00F43C69">
        <w:t>Jamatta</w:t>
      </w:r>
      <w:proofErr w:type="spellEnd"/>
      <w:r w:rsidRPr="00F43C69">
        <w:t xml:space="preserve"> Point 2 to </w:t>
      </w:r>
      <w:r w:rsidRPr="00F43C69">
        <w:rPr>
          <w:rStyle w:val="Strong"/>
          <w:b w:val="0"/>
          <w:bCs w:val="0"/>
        </w:rPr>
        <w:t>4.03 ± 0.78 mg/L</w:t>
      </w:r>
      <w:r w:rsidRPr="00F43C69">
        <w:t xml:space="preserve"> at </w:t>
      </w:r>
      <w:proofErr w:type="spellStart"/>
      <w:r w:rsidRPr="00F43C69">
        <w:t>Ganaja</w:t>
      </w:r>
      <w:proofErr w:type="spellEnd"/>
      <w:r w:rsidRPr="00F43C69">
        <w:t xml:space="preserve"> </w:t>
      </w:r>
      <w:proofErr w:type="spellStart"/>
      <w:r w:rsidRPr="00F43C69">
        <w:t>Fari</w:t>
      </w:r>
      <w:proofErr w:type="spellEnd"/>
      <w:r w:rsidRPr="00F43C69">
        <w:t xml:space="preserve">. The generally low DO levels at several stations may indicate organic enrichment and limited reaeration, which can adversely affect aquatic </w:t>
      </w:r>
      <w:r w:rsidRPr="00F43C69">
        <w:lastRenderedPageBreak/>
        <w:t xml:space="preserve">organisms. Biochemical oxygen demand (BOD) values were relatively low, ranging from </w:t>
      </w:r>
      <w:r w:rsidRPr="00F43C69">
        <w:rPr>
          <w:rStyle w:val="Strong"/>
          <w:b w:val="0"/>
          <w:bCs w:val="0"/>
        </w:rPr>
        <w:t>0.80 ± 0.26 mg/L</w:t>
      </w:r>
      <w:r w:rsidRPr="00F43C69">
        <w:t xml:space="preserve"> to </w:t>
      </w:r>
      <w:r w:rsidRPr="00F43C69">
        <w:rPr>
          <w:rStyle w:val="Strong"/>
          <w:b w:val="0"/>
          <w:bCs w:val="0"/>
        </w:rPr>
        <w:t>2.23 ± 0.45 mg/L</w:t>
      </w:r>
      <w:r w:rsidRPr="00F43C69">
        <w:t xml:space="preserve">, suggesting moderate levels of biodegradable organic matter. In contrast, chemical oxygen demand (COD) values were substantially higher, varying between </w:t>
      </w:r>
      <w:r w:rsidRPr="00F43C69">
        <w:rPr>
          <w:rStyle w:val="Strong"/>
          <w:b w:val="0"/>
          <w:bCs w:val="0"/>
        </w:rPr>
        <w:t>33.63 ± 1.12 mg/L</w:t>
      </w:r>
      <w:r w:rsidRPr="00F43C69">
        <w:t xml:space="preserve"> and </w:t>
      </w:r>
      <w:r w:rsidRPr="00F43C69">
        <w:rPr>
          <w:rStyle w:val="Strong"/>
          <w:b w:val="0"/>
          <w:bCs w:val="0"/>
        </w:rPr>
        <w:t>61.70 ± 3.29 mg/L</w:t>
      </w:r>
      <w:r w:rsidRPr="00F43C69">
        <w:t>, particularly at Murtala Bridge Point 2, indicating the presence of both biodegradable and non-biodegradable organic pollutants.</w:t>
      </w:r>
    </w:p>
    <w:p w14:paraId="1EF45209" w14:textId="77777777" w:rsidR="009C14ED" w:rsidRPr="00F43C69" w:rsidRDefault="003D643B" w:rsidP="00E20657">
      <w:pPr>
        <w:pStyle w:val="NormalWeb"/>
        <w:spacing w:line="480" w:lineRule="auto"/>
        <w:jc w:val="both"/>
      </w:pPr>
      <w:r w:rsidRPr="00F43C69">
        <w:t xml:space="preserve">Nutrient concentrations also exhibited spatial variation. Sulphate concentrations were generally low, ranging from </w:t>
      </w:r>
      <w:r w:rsidRPr="00F43C69">
        <w:rPr>
          <w:rStyle w:val="Strong"/>
          <w:b w:val="0"/>
          <w:bCs w:val="0"/>
        </w:rPr>
        <w:t>0.068 ± 0.009 mg/L</w:t>
      </w:r>
      <w:r w:rsidRPr="00F43C69">
        <w:t xml:space="preserve"> at </w:t>
      </w:r>
      <w:proofErr w:type="spellStart"/>
      <w:r w:rsidRPr="00F43C69">
        <w:t>Ganaja</w:t>
      </w:r>
      <w:proofErr w:type="spellEnd"/>
      <w:r w:rsidRPr="00F43C69">
        <w:t xml:space="preserve"> </w:t>
      </w:r>
      <w:proofErr w:type="spellStart"/>
      <w:r w:rsidRPr="00F43C69">
        <w:t>Fari</w:t>
      </w:r>
      <w:proofErr w:type="spellEnd"/>
      <w:r w:rsidRPr="00F43C69">
        <w:t xml:space="preserve"> to </w:t>
      </w:r>
      <w:r w:rsidRPr="00F43C69">
        <w:rPr>
          <w:rStyle w:val="Strong"/>
          <w:b w:val="0"/>
          <w:bCs w:val="0"/>
        </w:rPr>
        <w:t>0.157 ± 0.005 mg/L</w:t>
      </w:r>
      <w:r w:rsidRPr="00F43C69">
        <w:t xml:space="preserve"> at </w:t>
      </w:r>
      <w:proofErr w:type="spellStart"/>
      <w:r w:rsidRPr="00F43C69">
        <w:t>Ohono</w:t>
      </w:r>
      <w:proofErr w:type="spellEnd"/>
      <w:r w:rsidRPr="00F43C69">
        <w:t xml:space="preserve"> Point 2. Nitrate levels varied from </w:t>
      </w:r>
      <w:r w:rsidRPr="00F43C69">
        <w:rPr>
          <w:rStyle w:val="Strong"/>
          <w:b w:val="0"/>
          <w:bCs w:val="0"/>
        </w:rPr>
        <w:t>0.127 ± 0.014 mg/L</w:t>
      </w:r>
      <w:r w:rsidRPr="00F43C69">
        <w:t xml:space="preserve"> at </w:t>
      </w:r>
      <w:proofErr w:type="spellStart"/>
      <w:r w:rsidRPr="00F43C69">
        <w:t>Jimgbe</w:t>
      </w:r>
      <w:proofErr w:type="spellEnd"/>
      <w:r w:rsidRPr="00F43C69">
        <w:t xml:space="preserve"> Beach Point 1 to </w:t>
      </w:r>
      <w:r w:rsidRPr="00F43C69">
        <w:rPr>
          <w:rStyle w:val="Strong"/>
          <w:b w:val="0"/>
          <w:bCs w:val="0"/>
        </w:rPr>
        <w:t>0.318 ± 0.036 mg/L</w:t>
      </w:r>
      <w:r w:rsidRPr="00F43C69">
        <w:t xml:space="preserve"> at </w:t>
      </w:r>
      <w:proofErr w:type="spellStart"/>
      <w:r w:rsidRPr="00F43C69">
        <w:t>Ganaja</w:t>
      </w:r>
      <w:proofErr w:type="spellEnd"/>
      <w:r w:rsidRPr="00F43C69">
        <w:t xml:space="preserve"> </w:t>
      </w:r>
      <w:proofErr w:type="spellStart"/>
      <w:r w:rsidRPr="00F43C69">
        <w:t>Fari</w:t>
      </w:r>
      <w:proofErr w:type="spellEnd"/>
      <w:r w:rsidRPr="00F43C69">
        <w:t xml:space="preserve">, suggesting inputs from surface runoff and possible agricultural or domestic sources. Chloride concentrations ranged widely, with the highest mean value recorded at </w:t>
      </w:r>
      <w:proofErr w:type="spellStart"/>
      <w:r w:rsidRPr="00F43C69">
        <w:t>Gadumo</w:t>
      </w:r>
      <w:proofErr w:type="spellEnd"/>
      <w:r w:rsidRPr="00F43C69">
        <w:t xml:space="preserve"> (</w:t>
      </w:r>
      <w:r w:rsidRPr="00F43C69">
        <w:rPr>
          <w:rStyle w:val="Strong"/>
          <w:b w:val="0"/>
          <w:bCs w:val="0"/>
        </w:rPr>
        <w:t>50.13 ± 66.3 mg/L</w:t>
      </w:r>
      <w:r w:rsidRPr="00F43C69">
        <w:t xml:space="preserve">), indicating localized contamination likely associated with human activities. Phosphate concentrations ranged from </w:t>
      </w:r>
      <w:r w:rsidRPr="00F43C69">
        <w:rPr>
          <w:rStyle w:val="Strong"/>
          <w:b w:val="0"/>
          <w:bCs w:val="0"/>
        </w:rPr>
        <w:t>5.27 ± 0.31 mg/L</w:t>
      </w:r>
      <w:r w:rsidRPr="00F43C69">
        <w:t xml:space="preserve"> to </w:t>
      </w:r>
      <w:r w:rsidRPr="00F43C69">
        <w:rPr>
          <w:rStyle w:val="Strong"/>
          <w:b w:val="0"/>
          <w:bCs w:val="0"/>
        </w:rPr>
        <w:t>10.33 ± 0.19 mg/L</w:t>
      </w:r>
      <w:r w:rsidRPr="00F43C69">
        <w:t xml:space="preserve">, with elevated values observed at </w:t>
      </w:r>
      <w:proofErr w:type="spellStart"/>
      <w:r w:rsidRPr="00F43C69">
        <w:t>Ganaja</w:t>
      </w:r>
      <w:proofErr w:type="spellEnd"/>
      <w:r w:rsidRPr="00F43C69">
        <w:t xml:space="preserve"> Mini Abattoir and Behind </w:t>
      </w:r>
      <w:proofErr w:type="spellStart"/>
      <w:r w:rsidRPr="00F43C69">
        <w:t>Jakuka</w:t>
      </w:r>
      <w:proofErr w:type="spellEnd"/>
      <w:r w:rsidRPr="00F43C69">
        <w:t xml:space="preserve"> </w:t>
      </w:r>
      <w:proofErr w:type="spellStart"/>
      <w:r w:rsidRPr="00F43C69">
        <w:t>Marbel</w:t>
      </w:r>
      <w:proofErr w:type="spellEnd"/>
      <w:r w:rsidRPr="00F43C69">
        <w:t xml:space="preserve"> Road, suggesting nutrient enrichment that could promote eutrophication.</w:t>
      </w:r>
    </w:p>
    <w:p w14:paraId="1942F61A" w14:textId="77777777" w:rsidR="009C14ED" w:rsidRPr="00F43C69" w:rsidRDefault="003D643B" w:rsidP="00E20657">
      <w:pPr>
        <w:pStyle w:val="NormalWeb"/>
        <w:spacing w:line="480" w:lineRule="auto"/>
        <w:jc w:val="both"/>
      </w:pPr>
      <w:r w:rsidRPr="00F43C69">
        <w:t xml:space="preserve">Overall, the results indicate that while most physicochemical parameters remained within acceptable ranges, localized elevations in EC, TDS, COD, chloride, and phosphate at specific stations reflect </w:t>
      </w:r>
      <w:r w:rsidRPr="00F43C69">
        <w:rPr>
          <w:rStyle w:val="Strong"/>
          <w:b w:val="0"/>
          <w:bCs w:val="0"/>
        </w:rPr>
        <w:t>anthropogenic pressure</w:t>
      </w:r>
      <w:r w:rsidRPr="00F43C69">
        <w:t>, particularly in areas influenced by industrial activities, abattoirs, and urban runoff.</w:t>
      </w:r>
    </w:p>
    <w:p w14:paraId="0AAEE71B" w14:textId="77777777" w:rsidR="00E20657" w:rsidRPr="00F43C69" w:rsidRDefault="00E20657">
      <w:pPr>
        <w:rPr>
          <w:rFonts w:ascii="Times New Roman" w:eastAsia="Times New Roman" w:hAnsi="Times New Roman" w:cs="Times New Roman"/>
          <w:b/>
          <w:bCs/>
          <w:kern w:val="36"/>
          <w:sz w:val="24"/>
          <w:szCs w:val="24"/>
          <w:lang w:eastAsia="en-US"/>
        </w:rPr>
      </w:pPr>
      <w:r w:rsidRPr="00F43C69">
        <w:rPr>
          <w:rFonts w:ascii="Times New Roman" w:eastAsia="Times New Roman" w:hAnsi="Times New Roman" w:cs="Times New Roman"/>
          <w:b/>
          <w:bCs/>
          <w:kern w:val="36"/>
          <w:sz w:val="24"/>
          <w:szCs w:val="24"/>
          <w:lang w:eastAsia="en-US"/>
        </w:rPr>
        <w:br w:type="page"/>
      </w:r>
    </w:p>
    <w:p w14:paraId="1305FC9D" w14:textId="4F22F21B" w:rsidR="001358B6" w:rsidRPr="00F43C69" w:rsidRDefault="001358B6" w:rsidP="00BC1E77">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n-US"/>
        </w:rPr>
      </w:pPr>
      <w:r w:rsidRPr="00F43C69">
        <w:rPr>
          <w:rFonts w:ascii="Times New Roman" w:eastAsia="Times New Roman" w:hAnsi="Times New Roman" w:cs="Times New Roman"/>
          <w:b/>
          <w:bCs/>
          <w:kern w:val="36"/>
          <w:sz w:val="24"/>
          <w:szCs w:val="24"/>
          <w:lang w:eastAsia="en-US"/>
        </w:rPr>
        <w:lastRenderedPageBreak/>
        <w:t>Principal Component Analysis (PCA) Results</w:t>
      </w:r>
    </w:p>
    <w:p w14:paraId="67B8BD71" w14:textId="77777777" w:rsidR="001358B6" w:rsidRPr="00F43C69" w:rsidRDefault="001358B6" w:rsidP="008A68F1">
      <w:pPr>
        <w:spacing w:before="100" w:beforeAutospacing="1" w:after="100" w:afterAutospacing="1" w:line="480" w:lineRule="auto"/>
        <w:jc w:val="both"/>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 xml:space="preserve">PCA was applied to the standardized mean values of twelve (12) physicochemical parameters measured across twenty (20) sampling points using </w:t>
      </w:r>
      <w:proofErr w:type="spellStart"/>
      <w:r w:rsidRPr="00F43C69">
        <w:rPr>
          <w:rFonts w:ascii="Times New Roman" w:eastAsia="Times New Roman" w:hAnsi="Times New Roman" w:cs="Times New Roman"/>
          <w:sz w:val="24"/>
          <w:szCs w:val="24"/>
          <w:lang w:eastAsia="en-US"/>
        </w:rPr>
        <w:t>OriginLab</w:t>
      </w:r>
      <w:proofErr w:type="spellEnd"/>
      <w:r w:rsidRPr="00F43C69">
        <w:rPr>
          <w:rFonts w:ascii="Times New Roman" w:eastAsia="Times New Roman" w:hAnsi="Times New Roman" w:cs="Times New Roman"/>
          <w:sz w:val="24"/>
          <w:szCs w:val="24"/>
          <w:lang w:eastAsia="en-US"/>
        </w:rPr>
        <w:t xml:space="preserve"> Pro. Variables were standardized (Z-score) and a correlation matrix was used to eliminate the effect of differing measurement units.</w:t>
      </w:r>
    </w:p>
    <w:p w14:paraId="3BEC13F6" w14:textId="77777777" w:rsidR="001358B6" w:rsidRPr="00F43C69" w:rsidRDefault="001358B6" w:rsidP="008A68F1">
      <w:pPr>
        <w:spacing w:before="100" w:beforeAutospacing="1" w:after="100" w:afterAutospacing="1" w:line="480" w:lineRule="auto"/>
        <w:jc w:val="both"/>
        <w:outlineLvl w:val="1"/>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Eigenvalues and Explained Variance</w:t>
      </w:r>
    </w:p>
    <w:p w14:paraId="6AC68B9F" w14:textId="7C73B95B" w:rsidR="00E20657" w:rsidRPr="00F43C69" w:rsidRDefault="001358B6" w:rsidP="00BC1E77">
      <w:pPr>
        <w:spacing w:before="100" w:beforeAutospacing="1" w:after="100" w:afterAutospacing="1" w:line="480" w:lineRule="auto"/>
        <w:jc w:val="both"/>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Four principal components (PCs) with eigenvalues ≥ 1 were retained, explaining a substantial proportion of the total variance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239"/>
        <w:gridCol w:w="2554"/>
        <w:gridCol w:w="2818"/>
      </w:tblGrid>
      <w:tr w:rsidR="001358B6" w:rsidRPr="00F43C69" w14:paraId="73F927AD" w14:textId="77777777" w:rsidTr="001358B6">
        <w:trPr>
          <w:tblHeader/>
          <w:tblCellSpacing w:w="15" w:type="dxa"/>
        </w:trPr>
        <w:tc>
          <w:tcPr>
            <w:tcW w:w="0" w:type="auto"/>
            <w:tcBorders>
              <w:top w:val="single" w:sz="18" w:space="0" w:color="auto"/>
              <w:left w:val="single" w:sz="18" w:space="0" w:color="auto"/>
              <w:bottom w:val="single" w:sz="18" w:space="0" w:color="auto"/>
              <w:right w:val="single" w:sz="18" w:space="0" w:color="auto"/>
            </w:tcBorders>
            <w:vAlign w:val="center"/>
            <w:hideMark/>
          </w:tcPr>
          <w:p w14:paraId="5DE748FF" w14:textId="77777777" w:rsidR="001358B6" w:rsidRPr="00F43C69" w:rsidRDefault="001358B6" w:rsidP="001358B6">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Principal Component</w:t>
            </w:r>
          </w:p>
        </w:tc>
        <w:tc>
          <w:tcPr>
            <w:tcW w:w="0" w:type="auto"/>
            <w:tcBorders>
              <w:top w:val="single" w:sz="18" w:space="0" w:color="auto"/>
              <w:bottom w:val="single" w:sz="18" w:space="0" w:color="auto"/>
              <w:right w:val="single" w:sz="18" w:space="0" w:color="auto"/>
            </w:tcBorders>
            <w:vAlign w:val="center"/>
            <w:hideMark/>
          </w:tcPr>
          <w:p w14:paraId="0CE850C2" w14:textId="77777777" w:rsidR="001358B6" w:rsidRPr="00F43C69" w:rsidRDefault="001358B6" w:rsidP="001358B6">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Eigenvalue</w:t>
            </w:r>
          </w:p>
        </w:tc>
        <w:tc>
          <w:tcPr>
            <w:tcW w:w="0" w:type="auto"/>
            <w:tcBorders>
              <w:top w:val="single" w:sz="18" w:space="0" w:color="auto"/>
              <w:bottom w:val="single" w:sz="18" w:space="0" w:color="auto"/>
            </w:tcBorders>
            <w:vAlign w:val="center"/>
            <w:hideMark/>
          </w:tcPr>
          <w:p w14:paraId="476EC817" w14:textId="77777777" w:rsidR="001358B6" w:rsidRPr="00F43C69" w:rsidRDefault="001358B6" w:rsidP="001358B6">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Variance Explained (%)</w:t>
            </w:r>
          </w:p>
        </w:tc>
        <w:tc>
          <w:tcPr>
            <w:tcW w:w="0" w:type="auto"/>
            <w:tcBorders>
              <w:top w:val="single" w:sz="18" w:space="0" w:color="auto"/>
              <w:left w:val="single" w:sz="18" w:space="0" w:color="auto"/>
              <w:bottom w:val="single" w:sz="18" w:space="0" w:color="auto"/>
              <w:right w:val="single" w:sz="18" w:space="0" w:color="auto"/>
            </w:tcBorders>
            <w:vAlign w:val="center"/>
            <w:hideMark/>
          </w:tcPr>
          <w:p w14:paraId="7FFEFB3C" w14:textId="77777777" w:rsidR="001358B6" w:rsidRPr="00F43C69" w:rsidRDefault="001358B6" w:rsidP="001358B6">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Cumulative Variance (%)</w:t>
            </w:r>
          </w:p>
        </w:tc>
      </w:tr>
      <w:tr w:rsidR="001358B6" w:rsidRPr="00F43C69" w14:paraId="3D065FED" w14:textId="77777777" w:rsidTr="001358B6">
        <w:trPr>
          <w:tblCellSpacing w:w="15" w:type="dxa"/>
        </w:trPr>
        <w:tc>
          <w:tcPr>
            <w:tcW w:w="0" w:type="auto"/>
            <w:tcBorders>
              <w:left w:val="single" w:sz="18" w:space="0" w:color="auto"/>
              <w:right w:val="single" w:sz="18" w:space="0" w:color="auto"/>
            </w:tcBorders>
            <w:vAlign w:val="center"/>
            <w:hideMark/>
          </w:tcPr>
          <w:p w14:paraId="387413DB"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PC1</w:t>
            </w:r>
          </w:p>
        </w:tc>
        <w:tc>
          <w:tcPr>
            <w:tcW w:w="0" w:type="auto"/>
            <w:tcBorders>
              <w:right w:val="single" w:sz="18" w:space="0" w:color="auto"/>
            </w:tcBorders>
            <w:vAlign w:val="center"/>
            <w:hideMark/>
          </w:tcPr>
          <w:p w14:paraId="582A83B6"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5.18</w:t>
            </w:r>
          </w:p>
        </w:tc>
        <w:tc>
          <w:tcPr>
            <w:tcW w:w="0" w:type="auto"/>
            <w:vAlign w:val="center"/>
            <w:hideMark/>
          </w:tcPr>
          <w:p w14:paraId="720BBE12"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43.2</w:t>
            </w:r>
          </w:p>
        </w:tc>
        <w:tc>
          <w:tcPr>
            <w:tcW w:w="0" w:type="auto"/>
            <w:tcBorders>
              <w:left w:val="single" w:sz="18" w:space="0" w:color="auto"/>
              <w:right w:val="single" w:sz="18" w:space="0" w:color="auto"/>
            </w:tcBorders>
            <w:vAlign w:val="center"/>
            <w:hideMark/>
          </w:tcPr>
          <w:p w14:paraId="4787BA64"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43.2</w:t>
            </w:r>
          </w:p>
        </w:tc>
      </w:tr>
      <w:tr w:rsidR="001358B6" w:rsidRPr="00F43C69" w14:paraId="2D13392E" w14:textId="77777777" w:rsidTr="001358B6">
        <w:trPr>
          <w:tblCellSpacing w:w="15" w:type="dxa"/>
        </w:trPr>
        <w:tc>
          <w:tcPr>
            <w:tcW w:w="0" w:type="auto"/>
            <w:tcBorders>
              <w:left w:val="single" w:sz="18" w:space="0" w:color="auto"/>
              <w:right w:val="single" w:sz="18" w:space="0" w:color="auto"/>
            </w:tcBorders>
            <w:vAlign w:val="center"/>
            <w:hideMark/>
          </w:tcPr>
          <w:p w14:paraId="389AD985"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PC2</w:t>
            </w:r>
          </w:p>
        </w:tc>
        <w:tc>
          <w:tcPr>
            <w:tcW w:w="0" w:type="auto"/>
            <w:tcBorders>
              <w:right w:val="single" w:sz="18" w:space="0" w:color="auto"/>
            </w:tcBorders>
            <w:vAlign w:val="center"/>
            <w:hideMark/>
          </w:tcPr>
          <w:p w14:paraId="279795AA"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2.96</w:t>
            </w:r>
          </w:p>
        </w:tc>
        <w:tc>
          <w:tcPr>
            <w:tcW w:w="0" w:type="auto"/>
            <w:vAlign w:val="center"/>
            <w:hideMark/>
          </w:tcPr>
          <w:p w14:paraId="7D556622"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24.7</w:t>
            </w:r>
          </w:p>
        </w:tc>
        <w:tc>
          <w:tcPr>
            <w:tcW w:w="0" w:type="auto"/>
            <w:tcBorders>
              <w:left w:val="single" w:sz="18" w:space="0" w:color="auto"/>
              <w:right w:val="single" w:sz="18" w:space="0" w:color="auto"/>
            </w:tcBorders>
            <w:vAlign w:val="center"/>
            <w:hideMark/>
          </w:tcPr>
          <w:p w14:paraId="503C1C37"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67.9</w:t>
            </w:r>
          </w:p>
        </w:tc>
      </w:tr>
      <w:tr w:rsidR="001358B6" w:rsidRPr="00F43C69" w14:paraId="00089973" w14:textId="77777777" w:rsidTr="001358B6">
        <w:trPr>
          <w:tblCellSpacing w:w="15" w:type="dxa"/>
        </w:trPr>
        <w:tc>
          <w:tcPr>
            <w:tcW w:w="0" w:type="auto"/>
            <w:tcBorders>
              <w:left w:val="single" w:sz="18" w:space="0" w:color="auto"/>
              <w:right w:val="single" w:sz="18" w:space="0" w:color="auto"/>
            </w:tcBorders>
            <w:vAlign w:val="center"/>
            <w:hideMark/>
          </w:tcPr>
          <w:p w14:paraId="55857353"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PC3</w:t>
            </w:r>
          </w:p>
        </w:tc>
        <w:tc>
          <w:tcPr>
            <w:tcW w:w="0" w:type="auto"/>
            <w:tcBorders>
              <w:right w:val="single" w:sz="18" w:space="0" w:color="auto"/>
            </w:tcBorders>
            <w:vAlign w:val="center"/>
            <w:hideMark/>
          </w:tcPr>
          <w:p w14:paraId="7BA61A47"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1.64</w:t>
            </w:r>
          </w:p>
        </w:tc>
        <w:tc>
          <w:tcPr>
            <w:tcW w:w="0" w:type="auto"/>
            <w:vAlign w:val="center"/>
            <w:hideMark/>
          </w:tcPr>
          <w:p w14:paraId="2E4B21E9"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13.7</w:t>
            </w:r>
          </w:p>
        </w:tc>
        <w:tc>
          <w:tcPr>
            <w:tcW w:w="0" w:type="auto"/>
            <w:tcBorders>
              <w:left w:val="single" w:sz="18" w:space="0" w:color="auto"/>
              <w:right w:val="single" w:sz="18" w:space="0" w:color="auto"/>
            </w:tcBorders>
            <w:vAlign w:val="center"/>
            <w:hideMark/>
          </w:tcPr>
          <w:p w14:paraId="1360B4E6"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81.6</w:t>
            </w:r>
          </w:p>
        </w:tc>
      </w:tr>
      <w:tr w:rsidR="001358B6" w:rsidRPr="00F43C69" w14:paraId="235ABB61" w14:textId="77777777" w:rsidTr="001358B6">
        <w:trPr>
          <w:tblCellSpacing w:w="15" w:type="dxa"/>
        </w:trPr>
        <w:tc>
          <w:tcPr>
            <w:tcW w:w="0" w:type="auto"/>
            <w:tcBorders>
              <w:left w:val="single" w:sz="18" w:space="0" w:color="auto"/>
              <w:bottom w:val="single" w:sz="18" w:space="0" w:color="auto"/>
              <w:right w:val="single" w:sz="18" w:space="0" w:color="auto"/>
            </w:tcBorders>
            <w:vAlign w:val="center"/>
            <w:hideMark/>
          </w:tcPr>
          <w:p w14:paraId="64F3859A"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PC4</w:t>
            </w:r>
          </w:p>
        </w:tc>
        <w:tc>
          <w:tcPr>
            <w:tcW w:w="0" w:type="auto"/>
            <w:tcBorders>
              <w:bottom w:val="single" w:sz="18" w:space="0" w:color="auto"/>
              <w:right w:val="single" w:sz="18" w:space="0" w:color="auto"/>
            </w:tcBorders>
            <w:vAlign w:val="center"/>
            <w:hideMark/>
          </w:tcPr>
          <w:p w14:paraId="6D5940F5"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1.02</w:t>
            </w:r>
          </w:p>
        </w:tc>
        <w:tc>
          <w:tcPr>
            <w:tcW w:w="0" w:type="auto"/>
            <w:tcBorders>
              <w:bottom w:val="single" w:sz="18" w:space="0" w:color="auto"/>
            </w:tcBorders>
            <w:vAlign w:val="center"/>
            <w:hideMark/>
          </w:tcPr>
          <w:p w14:paraId="141DE095"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8.5</w:t>
            </w:r>
          </w:p>
        </w:tc>
        <w:tc>
          <w:tcPr>
            <w:tcW w:w="0" w:type="auto"/>
            <w:tcBorders>
              <w:left w:val="single" w:sz="18" w:space="0" w:color="auto"/>
              <w:bottom w:val="single" w:sz="18" w:space="0" w:color="auto"/>
              <w:right w:val="single" w:sz="18" w:space="0" w:color="auto"/>
            </w:tcBorders>
            <w:vAlign w:val="center"/>
            <w:hideMark/>
          </w:tcPr>
          <w:p w14:paraId="593D650E" w14:textId="77777777" w:rsidR="001358B6" w:rsidRPr="00F43C69" w:rsidRDefault="001358B6" w:rsidP="001358B6">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90.1</w:t>
            </w:r>
          </w:p>
        </w:tc>
      </w:tr>
    </w:tbl>
    <w:p w14:paraId="583CE9F0" w14:textId="77777777" w:rsidR="008A68F1" w:rsidRPr="00F43C69" w:rsidRDefault="001358B6" w:rsidP="00BC1E77">
      <w:pPr>
        <w:spacing w:before="100" w:beforeAutospacing="1" w:after="100" w:afterAutospacing="1" w:line="480" w:lineRule="auto"/>
        <w:rPr>
          <w:rFonts w:ascii="Times New Roman" w:eastAsia="Times New Roman" w:hAnsi="Times New Roman" w:cs="Times New Roman"/>
          <w:sz w:val="24"/>
          <w:szCs w:val="24"/>
          <w:lang w:eastAsia="en-US"/>
        </w:rPr>
      </w:pPr>
      <w:r w:rsidRPr="00F43C69">
        <w:rPr>
          <w:rFonts w:ascii="Times New Roman" w:eastAsia="Times New Roman" w:hAnsi="Times New Roman" w:cs="Times New Roman"/>
          <w:b/>
          <w:bCs/>
          <w:sz w:val="24"/>
          <w:szCs w:val="24"/>
          <w:lang w:eastAsia="en-US"/>
        </w:rPr>
        <w:t>Interpretation:</w:t>
      </w:r>
      <w:r w:rsidRPr="00F43C69">
        <w:rPr>
          <w:rFonts w:ascii="Times New Roman" w:eastAsia="Times New Roman" w:hAnsi="Times New Roman" w:cs="Times New Roman"/>
          <w:sz w:val="24"/>
          <w:szCs w:val="24"/>
          <w:lang w:eastAsia="en-US"/>
        </w:rPr>
        <w:br/>
        <w:t>The first four principal components accounted for approximately 90% of the total variance, indicating that the major sources of variation in water quality were effectively summarized by these components.</w:t>
      </w:r>
    </w:p>
    <w:p w14:paraId="18D575F1" w14:textId="77777777" w:rsidR="008A68F1" w:rsidRPr="00F43C69" w:rsidRDefault="001358B6" w:rsidP="008A68F1">
      <w:pPr>
        <w:spacing w:line="360" w:lineRule="auto"/>
        <w:rPr>
          <w:rFonts w:ascii="Times New Roman" w:eastAsia="Times New Roman" w:hAnsi="Times New Roman" w:cs="Times New Roman"/>
          <w:sz w:val="24"/>
          <w:szCs w:val="24"/>
          <w:lang w:eastAsia="en-US"/>
        </w:rPr>
      </w:pPr>
      <w:r w:rsidRPr="00F43C69">
        <w:rPr>
          <w:rFonts w:ascii="Times New Roman" w:eastAsia="Times New Roman" w:hAnsi="Times New Roman" w:cs="Times New Roman"/>
          <w:b/>
          <w:bCs/>
          <w:sz w:val="24"/>
          <w:szCs w:val="24"/>
          <w:lang w:eastAsia="en-US"/>
        </w:rPr>
        <w:t>Scree Plot Interpretation</w:t>
      </w:r>
    </w:p>
    <w:p w14:paraId="3C15906C" w14:textId="29360A94" w:rsidR="001358B6" w:rsidRPr="00F43C69" w:rsidRDefault="001358B6" w:rsidP="008A68F1">
      <w:pPr>
        <w:spacing w:line="360" w:lineRule="auto"/>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The scree plot showed a sharp decline from PC1 to PC2, followed by a gradual flattening after PC4.</w:t>
      </w:r>
      <w:r w:rsidRPr="00F43C69">
        <w:rPr>
          <w:rFonts w:ascii="Times New Roman" w:eastAsia="Times New Roman" w:hAnsi="Times New Roman" w:cs="Times New Roman"/>
          <w:sz w:val="24"/>
          <w:szCs w:val="24"/>
          <w:lang w:eastAsia="en-US"/>
        </w:rPr>
        <w:br/>
        <w:t xml:space="preserve">The “elbow point” occurred at </w:t>
      </w:r>
      <w:r w:rsidRPr="00F43C69">
        <w:rPr>
          <w:rFonts w:ascii="Times New Roman" w:eastAsia="Times New Roman" w:hAnsi="Times New Roman" w:cs="Times New Roman"/>
          <w:b/>
          <w:bCs/>
          <w:sz w:val="24"/>
          <w:szCs w:val="24"/>
          <w:lang w:eastAsia="en-US"/>
        </w:rPr>
        <w:t>PC4</w:t>
      </w:r>
      <w:r w:rsidRPr="00F43C69">
        <w:rPr>
          <w:rFonts w:ascii="Times New Roman" w:eastAsia="Times New Roman" w:hAnsi="Times New Roman" w:cs="Times New Roman"/>
          <w:sz w:val="24"/>
          <w:szCs w:val="24"/>
          <w:lang w:eastAsia="en-US"/>
        </w:rPr>
        <w:t>, confirming the retention of four principal components as statistically and environmentally significant.</w:t>
      </w:r>
    </w:p>
    <w:p w14:paraId="32D39222" w14:textId="2AD5496A" w:rsidR="009C14ED" w:rsidRPr="00F43C69" w:rsidRDefault="008A68F1">
      <w:pPr>
        <w:spacing w:line="360" w:lineRule="auto"/>
        <w:rPr>
          <w:rFonts w:ascii="Times New Roman" w:hAnsi="Times New Roman" w:cs="Times New Roman"/>
          <w:sz w:val="24"/>
          <w:szCs w:val="24"/>
        </w:rPr>
      </w:pPr>
      <w:r w:rsidRPr="00F43C69">
        <w:rPr>
          <w:rFonts w:ascii="Times New Roman" w:hAnsi="Times New Roman" w:cs="Times New Roman"/>
          <w:noProof/>
          <w:sz w:val="24"/>
          <w:szCs w:val="24"/>
        </w:rPr>
        <w:lastRenderedPageBreak/>
        <w:drawing>
          <wp:inline distT="0" distB="0" distL="0" distR="0" wp14:anchorId="562CBC4D" wp14:editId="63C00DBF">
            <wp:extent cx="5539802" cy="369779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1605" cy="3739047"/>
                    </a:xfrm>
                    <a:prstGeom prst="rect">
                      <a:avLst/>
                    </a:prstGeom>
                    <a:noFill/>
                  </pic:spPr>
                </pic:pic>
              </a:graphicData>
            </a:graphic>
          </wp:inline>
        </w:drawing>
      </w:r>
    </w:p>
    <w:p w14:paraId="536E2865" w14:textId="2AF0E34D" w:rsidR="008A68F1" w:rsidRPr="00F43C69" w:rsidRDefault="008A68F1">
      <w:pPr>
        <w:spacing w:line="360" w:lineRule="auto"/>
        <w:rPr>
          <w:rFonts w:ascii="Times New Roman" w:hAnsi="Times New Roman" w:cs="Times New Roman"/>
          <w:sz w:val="24"/>
          <w:szCs w:val="24"/>
        </w:rPr>
      </w:pPr>
      <w:r w:rsidRPr="00F43C69">
        <w:rPr>
          <w:rFonts w:ascii="Times New Roman" w:hAnsi="Times New Roman" w:cs="Times New Roman"/>
          <w:sz w:val="24"/>
          <w:szCs w:val="24"/>
        </w:rPr>
        <w:t xml:space="preserve">Figure </w:t>
      </w:r>
    </w:p>
    <w:p w14:paraId="2218B523" w14:textId="21C611B5" w:rsidR="008A68F1" w:rsidRPr="00F43C69" w:rsidRDefault="008A68F1" w:rsidP="008A68F1">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The PCA score plot illustrates the spatial distribution of the sampling points based on the first two principal components, which together explain a substantial proportion of the total variance in the dataset. The plot reveals distinct groupings of sampling points, indicating similarities and differences in water quality characteristics across the study area.</w:t>
      </w:r>
    </w:p>
    <w:p w14:paraId="2977E5DF" w14:textId="511B5CDB" w:rsidR="008A68F1" w:rsidRPr="00F43C69" w:rsidRDefault="008A68F1" w:rsidP="008A68F1">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Sampling points with high positive scores along PC1 are associated with elevated electrical conductivity, total dissolved solids, biochemical oxygen demand, chemical oxygen demand, sulphate, chloride, and phosphate concentrations. These sampling points are therefore indicative of areas experiencing relatively higher levels of organic and ionic pollution, likely influenced by anthropogenic activities such as domestic wastewater discharge and agricultural runoff.</w:t>
      </w:r>
    </w:p>
    <w:p w14:paraId="4290B42F" w14:textId="3DE9E5A2" w:rsidR="008A68F1" w:rsidRPr="00F43C69" w:rsidRDefault="008A68F1" w:rsidP="008A68F1">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In contrast, sampling points with negative or low PC1 scores are characterized by lower concentrations of these parameters and higher dissolved oxygen levels, reflecting comparatively better water quality conditions and reduced pollution influence.</w:t>
      </w:r>
    </w:p>
    <w:p w14:paraId="4A640370" w14:textId="4F6A591F" w:rsidR="008A68F1" w:rsidRPr="00F43C69" w:rsidRDefault="008A68F1" w:rsidP="008A68F1">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lastRenderedPageBreak/>
        <w:t>Along PC2, sampling points are separated based on nutrient–oxygen dynamics. Sampling points with positive PC2 scores correspond to higher nitrate and phosphate concentrations and reduced dissolved oxygen, suggesting nutrient enrichment and possible eutrophication effects. Conversely, sampling points with negative PC2 scores are associated with higher dissolved oxygen concentrations and lower nutrient levels, indicating less biologically stressed conditions.</w:t>
      </w:r>
    </w:p>
    <w:p w14:paraId="764CC1DC" w14:textId="59DC4FF9" w:rsidR="008A68F1" w:rsidRPr="00F43C69" w:rsidRDefault="008A68F1" w:rsidP="008A68F1">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Overall, the clustering pattern observed in the score plot demonstrates that water quality variation among the sampling points is primarily controlled by differences in organic load, dissolved ionic content, and nutrient enrichment. The separation of sampling points along the principal component axes highlights the combined influence of anthropogenic pressures and natural environmental factors on the observed spatial variability in water quality across the study area.</w:t>
      </w:r>
    </w:p>
    <w:p w14:paraId="42958CE5" w14:textId="4596C91D" w:rsidR="00BC1E77" w:rsidRPr="00F43C69" w:rsidRDefault="00BC1E77" w:rsidP="00BC1E77">
      <w:pPr>
        <w:spacing w:before="100" w:beforeAutospacing="1" w:after="100" w:afterAutospacing="1"/>
        <w:outlineLvl w:val="1"/>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Hierarchical Cluster Analysis (HCA): Results</w:t>
      </w:r>
    </w:p>
    <w:p w14:paraId="7E4B0F7E" w14:textId="77777777" w:rsidR="00BC1E77" w:rsidRPr="00F43C69" w:rsidRDefault="00BC1E77" w:rsidP="00E20657">
      <w:pPr>
        <w:spacing w:before="100" w:beforeAutospacing="1" w:after="100" w:afterAutospacing="1" w:line="480" w:lineRule="auto"/>
        <w:jc w:val="both"/>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Hierarchical Cluster Analysis grouped the 20 sampling points into three distinct clusters based on similarities in their mean physicochemical characteristics using Euclidean distance and Ward’s linkage method.</w:t>
      </w:r>
    </w:p>
    <w:p w14:paraId="209E60F7" w14:textId="77777777" w:rsidR="00BC1E77" w:rsidRPr="00F43C69" w:rsidRDefault="00BC1E77" w:rsidP="00BC1E77">
      <w:pPr>
        <w:spacing w:before="100" w:beforeAutospacing="1" w:after="100" w:afterAutospacing="1"/>
        <w:outlineLvl w:val="2"/>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Table 1: Cluster Membership of Sampling Points (HCA Results)</w:t>
      </w:r>
    </w:p>
    <w:tbl>
      <w:tblPr>
        <w:tblStyle w:val="PlainTable2"/>
        <w:tblW w:w="7848" w:type="dxa"/>
        <w:tblLook w:val="06A0" w:firstRow="1" w:lastRow="0" w:firstColumn="1" w:lastColumn="0" w:noHBand="1" w:noVBand="1"/>
      </w:tblPr>
      <w:tblGrid>
        <w:gridCol w:w="1448"/>
        <w:gridCol w:w="3933"/>
        <w:gridCol w:w="2467"/>
      </w:tblGrid>
      <w:tr w:rsidR="00BC1E77" w:rsidRPr="00F43C69" w14:paraId="29E0EFC9" w14:textId="77777777" w:rsidTr="00E20657">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76FAB7DF" w14:textId="77777777" w:rsidR="00BC1E77" w:rsidRPr="00F43C69" w:rsidRDefault="00BC1E77" w:rsidP="00BC1E77">
            <w:pPr>
              <w:jc w:val="cente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Cluster</w:t>
            </w:r>
          </w:p>
        </w:tc>
        <w:tc>
          <w:tcPr>
            <w:tcW w:w="0" w:type="auto"/>
            <w:hideMark/>
          </w:tcPr>
          <w:p w14:paraId="0B6CE58B" w14:textId="77777777" w:rsidR="00BC1E77" w:rsidRPr="00F43C69" w:rsidRDefault="00BC1E77" w:rsidP="00BC1E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Sampling Points (1–20)</w:t>
            </w:r>
          </w:p>
        </w:tc>
        <w:tc>
          <w:tcPr>
            <w:tcW w:w="0" w:type="auto"/>
            <w:hideMark/>
          </w:tcPr>
          <w:p w14:paraId="6BAEBEF7" w14:textId="77777777" w:rsidR="00BC1E77" w:rsidRPr="00F43C69" w:rsidRDefault="00BC1E77" w:rsidP="00BC1E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Number of Samples</w:t>
            </w:r>
          </w:p>
        </w:tc>
      </w:tr>
      <w:tr w:rsidR="00BC1E77" w:rsidRPr="00F43C69" w14:paraId="76BF9871" w14:textId="77777777" w:rsidTr="00E20657">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355BB4C8"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Cluster I</w:t>
            </w:r>
          </w:p>
        </w:tc>
        <w:tc>
          <w:tcPr>
            <w:tcW w:w="0" w:type="auto"/>
            <w:hideMark/>
          </w:tcPr>
          <w:p w14:paraId="1A33306E"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1, 3, 4, 6, 11, 14, 16, 17, 18, 19, 20</w:t>
            </w:r>
          </w:p>
        </w:tc>
        <w:tc>
          <w:tcPr>
            <w:tcW w:w="0" w:type="auto"/>
            <w:hideMark/>
          </w:tcPr>
          <w:p w14:paraId="38D5A249"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11</w:t>
            </w:r>
          </w:p>
        </w:tc>
      </w:tr>
      <w:tr w:rsidR="00BC1E77" w:rsidRPr="00F43C69" w14:paraId="57CB282D" w14:textId="77777777" w:rsidTr="00E20657">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2F4823A8"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Cluster II</w:t>
            </w:r>
          </w:p>
        </w:tc>
        <w:tc>
          <w:tcPr>
            <w:tcW w:w="0" w:type="auto"/>
            <w:hideMark/>
          </w:tcPr>
          <w:p w14:paraId="7D8CC090"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2, 7, 8, 12, 13, 15</w:t>
            </w:r>
          </w:p>
        </w:tc>
        <w:tc>
          <w:tcPr>
            <w:tcW w:w="0" w:type="auto"/>
            <w:hideMark/>
          </w:tcPr>
          <w:p w14:paraId="1BC46108"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6</w:t>
            </w:r>
          </w:p>
        </w:tc>
      </w:tr>
      <w:tr w:rsidR="00BC1E77" w:rsidRPr="00F43C69" w14:paraId="7DDE7751" w14:textId="77777777" w:rsidTr="00E20657">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27D13000"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Cluster III</w:t>
            </w:r>
          </w:p>
        </w:tc>
        <w:tc>
          <w:tcPr>
            <w:tcW w:w="0" w:type="auto"/>
            <w:hideMark/>
          </w:tcPr>
          <w:p w14:paraId="1F2B27D3"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5, 9, 10</w:t>
            </w:r>
          </w:p>
        </w:tc>
        <w:tc>
          <w:tcPr>
            <w:tcW w:w="0" w:type="auto"/>
            <w:hideMark/>
          </w:tcPr>
          <w:p w14:paraId="55A3897E" w14:textId="77777777" w:rsidR="00BC1E77" w:rsidRPr="00F43C69" w:rsidRDefault="00BC1E77" w:rsidP="00BC1E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3</w:t>
            </w:r>
          </w:p>
        </w:tc>
      </w:tr>
    </w:tbl>
    <w:p w14:paraId="790B3A84" w14:textId="77777777" w:rsidR="00155FE9" w:rsidRPr="00F43C69" w:rsidRDefault="00155FE9" w:rsidP="00BC1E77">
      <w:pPr>
        <w:spacing w:before="100" w:beforeAutospacing="1" w:after="100" w:afterAutospacing="1"/>
        <w:outlineLvl w:val="2"/>
        <w:rPr>
          <w:rFonts w:ascii="Times New Roman" w:eastAsia="Times New Roman" w:hAnsi="Times New Roman" w:cs="Times New Roman"/>
          <w:b/>
          <w:bCs/>
          <w:sz w:val="24"/>
          <w:szCs w:val="24"/>
          <w:lang w:eastAsia="en-US"/>
        </w:rPr>
      </w:pPr>
    </w:p>
    <w:p w14:paraId="0A8326DB" w14:textId="4739F856" w:rsidR="00BC1E77" w:rsidRPr="00F43C69" w:rsidRDefault="00155FE9" w:rsidP="00155FE9">
      <w:pPr>
        <w:spacing w:line="480" w:lineRule="auto"/>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br w:type="page"/>
      </w:r>
      <w:r w:rsidR="00BC1E77" w:rsidRPr="00F43C69">
        <w:rPr>
          <w:rFonts w:ascii="Times New Roman" w:eastAsia="Times New Roman" w:hAnsi="Times New Roman" w:cs="Times New Roman"/>
          <w:b/>
          <w:bCs/>
          <w:sz w:val="24"/>
          <w:szCs w:val="24"/>
          <w:lang w:eastAsia="en-US"/>
        </w:rPr>
        <w:lastRenderedPageBreak/>
        <w:t>Table 2: General Water Quality Characteristics of Identified Clusters</w:t>
      </w:r>
    </w:p>
    <w:tbl>
      <w:tblPr>
        <w:tblStyle w:val="TableGrid"/>
        <w:tblW w:w="8404" w:type="dxa"/>
        <w:tblLook w:val="04A0" w:firstRow="1" w:lastRow="0" w:firstColumn="1" w:lastColumn="0" w:noHBand="0" w:noVBand="1"/>
      </w:tblPr>
      <w:tblGrid>
        <w:gridCol w:w="1337"/>
        <w:gridCol w:w="7067"/>
      </w:tblGrid>
      <w:tr w:rsidR="00BC1E77" w:rsidRPr="00F43C69" w14:paraId="07928A5D" w14:textId="77777777" w:rsidTr="00E20657">
        <w:trPr>
          <w:trHeight w:val="511"/>
        </w:trPr>
        <w:tc>
          <w:tcPr>
            <w:tcW w:w="0" w:type="auto"/>
            <w:hideMark/>
          </w:tcPr>
          <w:p w14:paraId="64764D43" w14:textId="77777777" w:rsidR="00BC1E77" w:rsidRPr="00F43C69" w:rsidRDefault="00BC1E77" w:rsidP="00BC1E77">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Cluster</w:t>
            </w:r>
          </w:p>
        </w:tc>
        <w:tc>
          <w:tcPr>
            <w:tcW w:w="0" w:type="auto"/>
            <w:hideMark/>
          </w:tcPr>
          <w:p w14:paraId="297EFBE7" w14:textId="77777777" w:rsidR="00BC1E77" w:rsidRPr="00F43C69" w:rsidRDefault="00BC1E77" w:rsidP="00BC1E77">
            <w:pPr>
              <w:jc w:val="center"/>
              <w:rPr>
                <w:rFonts w:ascii="Times New Roman" w:eastAsia="Times New Roman" w:hAnsi="Times New Roman" w:cs="Times New Roman"/>
                <w:b/>
                <w:bCs/>
                <w:sz w:val="24"/>
                <w:szCs w:val="24"/>
                <w:lang w:eastAsia="en-US"/>
              </w:rPr>
            </w:pPr>
            <w:r w:rsidRPr="00F43C69">
              <w:rPr>
                <w:rFonts w:ascii="Times New Roman" w:eastAsia="Times New Roman" w:hAnsi="Times New Roman" w:cs="Times New Roman"/>
                <w:b/>
                <w:bCs/>
                <w:sz w:val="24"/>
                <w:szCs w:val="24"/>
                <w:lang w:eastAsia="en-US"/>
              </w:rPr>
              <w:t>Dominant Characteristics</w:t>
            </w:r>
          </w:p>
        </w:tc>
      </w:tr>
      <w:tr w:rsidR="00BC1E77" w:rsidRPr="00F43C69" w14:paraId="363D508B" w14:textId="77777777" w:rsidTr="00E20657">
        <w:trPr>
          <w:trHeight w:val="511"/>
        </w:trPr>
        <w:tc>
          <w:tcPr>
            <w:tcW w:w="0" w:type="auto"/>
            <w:hideMark/>
          </w:tcPr>
          <w:p w14:paraId="1BD2C32A"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b/>
                <w:bCs/>
                <w:sz w:val="24"/>
                <w:szCs w:val="24"/>
                <w:lang w:eastAsia="en-US"/>
              </w:rPr>
              <w:t>Cluster I</w:t>
            </w:r>
          </w:p>
        </w:tc>
        <w:tc>
          <w:tcPr>
            <w:tcW w:w="0" w:type="auto"/>
            <w:hideMark/>
          </w:tcPr>
          <w:p w14:paraId="7F95F0A1"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Low–moderate EC, TDS, BOD, COD and nutrient concentrations</w:t>
            </w:r>
          </w:p>
        </w:tc>
      </w:tr>
      <w:tr w:rsidR="00BC1E77" w:rsidRPr="00F43C69" w14:paraId="01FAE08C" w14:textId="77777777" w:rsidTr="00E20657">
        <w:trPr>
          <w:trHeight w:val="511"/>
        </w:trPr>
        <w:tc>
          <w:tcPr>
            <w:tcW w:w="0" w:type="auto"/>
            <w:hideMark/>
          </w:tcPr>
          <w:p w14:paraId="6947A84E"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b/>
                <w:bCs/>
                <w:sz w:val="24"/>
                <w:szCs w:val="24"/>
                <w:lang w:eastAsia="en-US"/>
              </w:rPr>
              <w:t>Cluster II</w:t>
            </w:r>
          </w:p>
        </w:tc>
        <w:tc>
          <w:tcPr>
            <w:tcW w:w="0" w:type="auto"/>
            <w:hideMark/>
          </w:tcPr>
          <w:p w14:paraId="7D10A0EF"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Moderate physicochemical values with noticeable nutrient enrichment</w:t>
            </w:r>
          </w:p>
        </w:tc>
      </w:tr>
      <w:tr w:rsidR="00BC1E77" w:rsidRPr="00F43C69" w14:paraId="01D7FD07" w14:textId="77777777" w:rsidTr="00E20657">
        <w:trPr>
          <w:trHeight w:val="511"/>
        </w:trPr>
        <w:tc>
          <w:tcPr>
            <w:tcW w:w="0" w:type="auto"/>
            <w:hideMark/>
          </w:tcPr>
          <w:p w14:paraId="108507BF"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b/>
                <w:bCs/>
                <w:sz w:val="24"/>
                <w:szCs w:val="24"/>
                <w:lang w:eastAsia="en-US"/>
              </w:rPr>
              <w:t>Cluster III</w:t>
            </w:r>
          </w:p>
        </w:tc>
        <w:tc>
          <w:tcPr>
            <w:tcW w:w="0" w:type="auto"/>
            <w:hideMark/>
          </w:tcPr>
          <w:p w14:paraId="5A86D64C" w14:textId="77777777" w:rsidR="00BC1E77" w:rsidRPr="00F43C69" w:rsidRDefault="00BC1E77" w:rsidP="00BC1E77">
            <w:pPr>
              <w:rPr>
                <w:rFonts w:ascii="Times New Roman" w:eastAsia="Times New Roman" w:hAnsi="Times New Roman" w:cs="Times New Roman"/>
                <w:sz w:val="24"/>
                <w:szCs w:val="24"/>
                <w:lang w:eastAsia="en-US"/>
              </w:rPr>
            </w:pPr>
            <w:r w:rsidRPr="00F43C69">
              <w:rPr>
                <w:rFonts w:ascii="Times New Roman" w:eastAsia="Times New Roman" w:hAnsi="Times New Roman" w:cs="Times New Roman"/>
                <w:sz w:val="24"/>
                <w:szCs w:val="24"/>
                <w:lang w:eastAsia="en-US"/>
              </w:rPr>
              <w:t>High EC, TDS, BOD, COD, sulphate, nitrate and phosphate levels</w:t>
            </w:r>
          </w:p>
        </w:tc>
      </w:tr>
    </w:tbl>
    <w:p w14:paraId="73F4D966" w14:textId="5C8BA78A" w:rsidR="00BC1E77" w:rsidRPr="00F43C69" w:rsidRDefault="00BC1E77" w:rsidP="008A68F1">
      <w:pPr>
        <w:spacing w:line="480" w:lineRule="auto"/>
        <w:jc w:val="both"/>
        <w:rPr>
          <w:rFonts w:ascii="Times New Roman" w:hAnsi="Times New Roman" w:cs="Times New Roman"/>
          <w:sz w:val="24"/>
          <w:szCs w:val="24"/>
        </w:rPr>
      </w:pPr>
    </w:p>
    <w:p w14:paraId="45FC1800" w14:textId="77777777" w:rsidR="00D44DF3"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The dendrogram showed the formation of three major clusters at a reasonable linkage distance, suggesting that the sampling locations share common environmental characteristics within clusters but differ significantly between clusters.</w:t>
      </w:r>
    </w:p>
    <w:p w14:paraId="1065FBD5" w14:textId="14F8870F" w:rsidR="00D44DF3"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b/>
          <w:bCs/>
          <w:sz w:val="24"/>
          <w:szCs w:val="24"/>
        </w:rPr>
        <w:t>Cluster I</w:t>
      </w:r>
      <w:r w:rsidRPr="00F43C69">
        <w:rPr>
          <w:rFonts w:ascii="Times New Roman" w:hAnsi="Times New Roman" w:cs="Times New Roman"/>
          <w:sz w:val="24"/>
          <w:szCs w:val="24"/>
        </w:rPr>
        <w:t xml:space="preserve"> consisted mainly of sampling points located in less densely populated or relatively undisturbed areas. These sites were characterized by lower electrical conductivity, total dissolved solids, BOD, COD, and nutrient concentrations, indicating comparatively better water quality conditions.</w:t>
      </w:r>
    </w:p>
    <w:p w14:paraId="0BC49EE1" w14:textId="06DE3088" w:rsidR="00D44DF3"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b/>
          <w:bCs/>
          <w:sz w:val="24"/>
          <w:szCs w:val="24"/>
        </w:rPr>
        <w:t>Cluster II</w:t>
      </w:r>
      <w:r w:rsidRPr="00F43C69">
        <w:rPr>
          <w:rFonts w:ascii="Times New Roman" w:hAnsi="Times New Roman" w:cs="Times New Roman"/>
          <w:sz w:val="24"/>
          <w:szCs w:val="24"/>
        </w:rPr>
        <w:t xml:space="preserve"> grouped sampling points from moderately impacted zones, showing intermediate values of physicochemical parameters such as dissolved oxygen, sulphate, nitrate, and phosphate. This cluster reflects areas experiencing moderate anthropogenic influence, likely from domestic activities and localized runoff.</w:t>
      </w:r>
    </w:p>
    <w:p w14:paraId="249276E8" w14:textId="53A7BB26" w:rsidR="00D44DF3"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b/>
          <w:bCs/>
          <w:sz w:val="24"/>
          <w:szCs w:val="24"/>
        </w:rPr>
        <w:t>Cluster III</w:t>
      </w:r>
      <w:r w:rsidRPr="00F43C69">
        <w:rPr>
          <w:rFonts w:ascii="Times New Roman" w:hAnsi="Times New Roman" w:cs="Times New Roman"/>
          <w:sz w:val="24"/>
          <w:szCs w:val="24"/>
        </w:rPr>
        <w:t xml:space="preserve"> comprised sampling points situated near highly disturbed or densely populated areas, including locations close to abattoirs, bridges, and industrial or commercial activities. These sites exhibited elevated EC, TDS, BOD, COD, sulphate, nitrate, and phosphate concentrations, suggesting significant organic and nutrient pollution inputs.</w:t>
      </w:r>
    </w:p>
    <w:p w14:paraId="21E87441" w14:textId="77777777" w:rsidR="00D44DF3" w:rsidRPr="00F43C69" w:rsidRDefault="00D44DF3" w:rsidP="00D44DF3">
      <w:pPr>
        <w:spacing w:line="480" w:lineRule="auto"/>
        <w:jc w:val="both"/>
        <w:rPr>
          <w:rFonts w:ascii="Times New Roman" w:hAnsi="Times New Roman" w:cs="Times New Roman"/>
          <w:b/>
          <w:bCs/>
          <w:sz w:val="24"/>
          <w:szCs w:val="24"/>
        </w:rPr>
      </w:pPr>
      <w:r w:rsidRPr="00F43C69">
        <w:rPr>
          <w:rFonts w:ascii="Times New Roman" w:hAnsi="Times New Roman" w:cs="Times New Roman"/>
          <w:b/>
          <w:bCs/>
          <w:sz w:val="24"/>
          <w:szCs w:val="24"/>
        </w:rPr>
        <w:t>Environmental Significance</w:t>
      </w:r>
    </w:p>
    <w:p w14:paraId="07EFFAEB" w14:textId="0866FA4D" w:rsidR="00D44DF3"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 xml:space="preserve">The clustering pattern indicates that anthropogenic activities strongly influence water quality variation across the sampling locations. The close association of highly polluted </w:t>
      </w:r>
      <w:r w:rsidRPr="00F43C69">
        <w:rPr>
          <w:rFonts w:ascii="Times New Roman" w:hAnsi="Times New Roman" w:cs="Times New Roman"/>
          <w:sz w:val="24"/>
          <w:szCs w:val="24"/>
        </w:rPr>
        <w:lastRenderedPageBreak/>
        <w:t>sites within the same cluster confirms that common pollution sources, such as waste discharge, runoff, and urban activities, contribute to the observed similarities.</w:t>
      </w:r>
    </w:p>
    <w:p w14:paraId="74A75177" w14:textId="0A72B61D" w:rsidR="00155FE9" w:rsidRPr="00F43C69" w:rsidRDefault="00D44DF3" w:rsidP="00D44DF3">
      <w:pPr>
        <w:spacing w:line="480" w:lineRule="auto"/>
        <w:jc w:val="both"/>
        <w:rPr>
          <w:rFonts w:ascii="Times New Roman" w:hAnsi="Times New Roman" w:cs="Times New Roman"/>
          <w:sz w:val="24"/>
          <w:szCs w:val="24"/>
        </w:rPr>
      </w:pPr>
      <w:r w:rsidRPr="00F43C69">
        <w:rPr>
          <w:rFonts w:ascii="Times New Roman" w:hAnsi="Times New Roman" w:cs="Times New Roman"/>
          <w:sz w:val="24"/>
          <w:szCs w:val="24"/>
        </w:rPr>
        <w:t>Furthermore, the HCA results are consistent with the PCA score plot, where sampling points with similar physicochemical characteristics were closely grouped, reinforcing the robustness of the multivariate analysis.</w:t>
      </w:r>
    </w:p>
    <w:p w14:paraId="6B21A90D" w14:textId="1EE16E9F" w:rsidR="00785A08" w:rsidRPr="00785A08" w:rsidRDefault="00785A08" w:rsidP="00785A08">
      <w:pPr>
        <w:spacing w:before="100" w:beforeAutospacing="1" w:after="100" w:afterAutospacing="1"/>
        <w:outlineLvl w:val="1"/>
        <w:rPr>
          <w:rFonts w:ascii="Times New Roman" w:eastAsia="Times New Roman" w:hAnsi="Times New Roman" w:cs="Times New Roman"/>
          <w:b/>
          <w:bCs/>
          <w:sz w:val="24"/>
          <w:szCs w:val="24"/>
          <w:lang w:eastAsia="en-US"/>
        </w:rPr>
      </w:pPr>
      <w:r w:rsidRPr="00785A08">
        <w:rPr>
          <w:rFonts w:ascii="Times New Roman" w:eastAsia="Times New Roman" w:hAnsi="Times New Roman" w:cs="Times New Roman"/>
          <w:b/>
          <w:bCs/>
          <w:sz w:val="24"/>
          <w:szCs w:val="24"/>
          <w:lang w:eastAsia="en-US"/>
        </w:rPr>
        <w:t>Table</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1:</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One</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Way</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ANOVA</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Results</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for</w:t>
      </w:r>
      <w:r w:rsidR="000B77C8" w:rsidRPr="00F43C69">
        <w:rPr>
          <w:rFonts w:ascii="Times New Roman" w:eastAsia="Times New Roman" w:hAnsi="Times New Roman" w:cs="Times New Roman"/>
          <w:b/>
          <w:bCs/>
          <w:sz w:val="24"/>
          <w:szCs w:val="24"/>
          <w:lang w:eastAsia="en-US"/>
        </w:rPr>
        <w:t> </w:t>
      </w:r>
      <w:r w:rsidRPr="00785A08">
        <w:rPr>
          <w:rFonts w:ascii="Times New Roman" w:eastAsia="Times New Roman" w:hAnsi="Times New Roman" w:cs="Times New Roman"/>
          <w:b/>
          <w:bCs/>
          <w:sz w:val="24"/>
          <w:szCs w:val="24"/>
          <w:lang w:eastAsia="en-US"/>
        </w:rPr>
        <w:t>Physicochemical Parameters</w:t>
      </w:r>
    </w:p>
    <w:tbl>
      <w:tblPr>
        <w:tblStyle w:val="PlainTable2"/>
        <w:tblW w:w="8340" w:type="dxa"/>
        <w:tblLook w:val="06A0" w:firstRow="1" w:lastRow="0" w:firstColumn="1" w:lastColumn="0" w:noHBand="1" w:noVBand="1"/>
      </w:tblPr>
      <w:tblGrid>
        <w:gridCol w:w="4415"/>
        <w:gridCol w:w="1135"/>
        <w:gridCol w:w="1120"/>
        <w:gridCol w:w="1670"/>
      </w:tblGrid>
      <w:tr w:rsidR="00785A08" w:rsidRPr="00785A08" w14:paraId="0BF84892" w14:textId="77777777" w:rsidTr="00785A0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55F451F" w14:textId="77777777" w:rsidR="00785A08" w:rsidRPr="00785A08" w:rsidRDefault="00785A08" w:rsidP="00785A08">
            <w:pPr>
              <w:jc w:val="center"/>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Parameter</w:t>
            </w:r>
          </w:p>
        </w:tc>
        <w:tc>
          <w:tcPr>
            <w:tcW w:w="0" w:type="auto"/>
            <w:hideMark/>
          </w:tcPr>
          <w:p w14:paraId="32EB713B" w14:textId="77777777" w:rsidR="00785A08" w:rsidRPr="00785A08" w:rsidRDefault="00785A08" w:rsidP="00785A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F-value</w:t>
            </w:r>
          </w:p>
        </w:tc>
        <w:tc>
          <w:tcPr>
            <w:tcW w:w="0" w:type="auto"/>
            <w:hideMark/>
          </w:tcPr>
          <w:p w14:paraId="0D63BC67" w14:textId="77777777" w:rsidR="00785A08" w:rsidRPr="00785A08" w:rsidRDefault="00785A08" w:rsidP="00785A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p-value</w:t>
            </w:r>
          </w:p>
        </w:tc>
        <w:tc>
          <w:tcPr>
            <w:tcW w:w="0" w:type="auto"/>
            <w:hideMark/>
          </w:tcPr>
          <w:p w14:paraId="463F7856" w14:textId="77777777" w:rsidR="00785A08" w:rsidRPr="00785A08" w:rsidRDefault="00785A08" w:rsidP="00785A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Significance</w:t>
            </w:r>
          </w:p>
        </w:tc>
      </w:tr>
      <w:tr w:rsidR="00785A08" w:rsidRPr="00785A08" w14:paraId="3F4E8012"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F04CDE6"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Air Temperature</w:t>
            </w:r>
          </w:p>
        </w:tc>
        <w:tc>
          <w:tcPr>
            <w:tcW w:w="0" w:type="auto"/>
            <w:hideMark/>
          </w:tcPr>
          <w:p w14:paraId="065BC7A0"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6.42</w:t>
            </w:r>
          </w:p>
        </w:tc>
        <w:tc>
          <w:tcPr>
            <w:tcW w:w="0" w:type="auto"/>
            <w:hideMark/>
          </w:tcPr>
          <w:p w14:paraId="0A05FB27"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0.001</w:t>
            </w:r>
          </w:p>
        </w:tc>
        <w:tc>
          <w:tcPr>
            <w:tcW w:w="0" w:type="auto"/>
            <w:hideMark/>
          </w:tcPr>
          <w:p w14:paraId="2280B939"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733A0F6C" w14:textId="77777777" w:rsidTr="00785A08">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1940D81"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Water Temperature</w:t>
            </w:r>
          </w:p>
        </w:tc>
        <w:tc>
          <w:tcPr>
            <w:tcW w:w="0" w:type="auto"/>
            <w:hideMark/>
          </w:tcPr>
          <w:p w14:paraId="67D6D4F8"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5.18</w:t>
            </w:r>
          </w:p>
        </w:tc>
        <w:tc>
          <w:tcPr>
            <w:tcW w:w="0" w:type="auto"/>
            <w:hideMark/>
          </w:tcPr>
          <w:p w14:paraId="37B51665"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0.003</w:t>
            </w:r>
          </w:p>
        </w:tc>
        <w:tc>
          <w:tcPr>
            <w:tcW w:w="0" w:type="auto"/>
            <w:hideMark/>
          </w:tcPr>
          <w:p w14:paraId="3928F489"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21DA4360"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56E9268"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pH</w:t>
            </w:r>
          </w:p>
        </w:tc>
        <w:tc>
          <w:tcPr>
            <w:tcW w:w="0" w:type="auto"/>
            <w:hideMark/>
          </w:tcPr>
          <w:p w14:paraId="4DF3501C"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4.36</w:t>
            </w:r>
          </w:p>
        </w:tc>
        <w:tc>
          <w:tcPr>
            <w:tcW w:w="0" w:type="auto"/>
            <w:hideMark/>
          </w:tcPr>
          <w:p w14:paraId="0A552215"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0.006</w:t>
            </w:r>
          </w:p>
        </w:tc>
        <w:tc>
          <w:tcPr>
            <w:tcW w:w="0" w:type="auto"/>
            <w:hideMark/>
          </w:tcPr>
          <w:p w14:paraId="7F094648"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4047CC2A"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D57803B"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Electrical Conductivity (EC)</w:t>
            </w:r>
          </w:p>
        </w:tc>
        <w:tc>
          <w:tcPr>
            <w:tcW w:w="0" w:type="auto"/>
            <w:hideMark/>
          </w:tcPr>
          <w:p w14:paraId="30DF46C7"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18.74</w:t>
            </w:r>
          </w:p>
        </w:tc>
        <w:tc>
          <w:tcPr>
            <w:tcW w:w="0" w:type="auto"/>
            <w:hideMark/>
          </w:tcPr>
          <w:p w14:paraId="00AB16FD"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3E9DA175"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5D9B08C0" w14:textId="77777777" w:rsidTr="00785A08">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1D703137"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Total Dissolved Solids (TDS)</w:t>
            </w:r>
          </w:p>
        </w:tc>
        <w:tc>
          <w:tcPr>
            <w:tcW w:w="0" w:type="auto"/>
            <w:hideMark/>
          </w:tcPr>
          <w:p w14:paraId="741CC92B"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21.56</w:t>
            </w:r>
          </w:p>
        </w:tc>
        <w:tc>
          <w:tcPr>
            <w:tcW w:w="0" w:type="auto"/>
            <w:hideMark/>
          </w:tcPr>
          <w:p w14:paraId="0F5E6DAF"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34A29E2E"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2D776140"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FAB96E0"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Dissolved Oxygen (DO)</w:t>
            </w:r>
          </w:p>
        </w:tc>
        <w:tc>
          <w:tcPr>
            <w:tcW w:w="0" w:type="auto"/>
            <w:hideMark/>
          </w:tcPr>
          <w:p w14:paraId="14C7E326"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7.25</w:t>
            </w:r>
          </w:p>
        </w:tc>
        <w:tc>
          <w:tcPr>
            <w:tcW w:w="0" w:type="auto"/>
            <w:hideMark/>
          </w:tcPr>
          <w:p w14:paraId="5361DF20"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0.001</w:t>
            </w:r>
          </w:p>
        </w:tc>
        <w:tc>
          <w:tcPr>
            <w:tcW w:w="0" w:type="auto"/>
            <w:hideMark/>
          </w:tcPr>
          <w:p w14:paraId="6CB9C2E9"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3AE8D9A1" w14:textId="77777777" w:rsidTr="00785A08">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57DAB0C9"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Biochemical Oxygen Demand (BOD)</w:t>
            </w:r>
          </w:p>
        </w:tc>
        <w:tc>
          <w:tcPr>
            <w:tcW w:w="0" w:type="auto"/>
            <w:hideMark/>
          </w:tcPr>
          <w:p w14:paraId="7BBCF55E"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9.82</w:t>
            </w:r>
          </w:p>
        </w:tc>
        <w:tc>
          <w:tcPr>
            <w:tcW w:w="0" w:type="auto"/>
            <w:hideMark/>
          </w:tcPr>
          <w:p w14:paraId="1B1E1C00"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6D24E16C"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1C7D7F2E"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1F1D6D3"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Chemical Oxygen Demand (COD)</w:t>
            </w:r>
          </w:p>
        </w:tc>
        <w:tc>
          <w:tcPr>
            <w:tcW w:w="0" w:type="auto"/>
            <w:hideMark/>
          </w:tcPr>
          <w:p w14:paraId="05CB0E42"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16.91</w:t>
            </w:r>
          </w:p>
        </w:tc>
        <w:tc>
          <w:tcPr>
            <w:tcW w:w="0" w:type="auto"/>
            <w:hideMark/>
          </w:tcPr>
          <w:p w14:paraId="59EEB6E4"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35EB3C85"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21C2503C" w14:textId="77777777" w:rsidTr="00785A08">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1584B86B"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Sulphate (SO₄²⁻)</w:t>
            </w:r>
          </w:p>
        </w:tc>
        <w:tc>
          <w:tcPr>
            <w:tcW w:w="0" w:type="auto"/>
            <w:hideMark/>
          </w:tcPr>
          <w:p w14:paraId="1FA396E6"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14.33</w:t>
            </w:r>
          </w:p>
        </w:tc>
        <w:tc>
          <w:tcPr>
            <w:tcW w:w="0" w:type="auto"/>
            <w:hideMark/>
          </w:tcPr>
          <w:p w14:paraId="61E0A79B"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028ACC0A"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63E1DBC5"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68CD4E8"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Nitrate (NO₃⁻)</w:t>
            </w:r>
          </w:p>
        </w:tc>
        <w:tc>
          <w:tcPr>
            <w:tcW w:w="0" w:type="auto"/>
            <w:hideMark/>
          </w:tcPr>
          <w:p w14:paraId="53D0A138"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3.92</w:t>
            </w:r>
          </w:p>
        </w:tc>
        <w:tc>
          <w:tcPr>
            <w:tcW w:w="0" w:type="auto"/>
            <w:hideMark/>
          </w:tcPr>
          <w:p w14:paraId="05C5D27D"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0.012</w:t>
            </w:r>
          </w:p>
        </w:tc>
        <w:tc>
          <w:tcPr>
            <w:tcW w:w="0" w:type="auto"/>
            <w:hideMark/>
          </w:tcPr>
          <w:p w14:paraId="1128C387"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26771C59" w14:textId="77777777" w:rsidTr="00785A08">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AB90A94"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Chloride (Cl⁻)</w:t>
            </w:r>
          </w:p>
        </w:tc>
        <w:tc>
          <w:tcPr>
            <w:tcW w:w="0" w:type="auto"/>
            <w:hideMark/>
          </w:tcPr>
          <w:p w14:paraId="57D7ACD3"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5.47</w:t>
            </w:r>
          </w:p>
        </w:tc>
        <w:tc>
          <w:tcPr>
            <w:tcW w:w="0" w:type="auto"/>
            <w:hideMark/>
          </w:tcPr>
          <w:p w14:paraId="080E0B6C"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0.002</w:t>
            </w:r>
          </w:p>
        </w:tc>
        <w:tc>
          <w:tcPr>
            <w:tcW w:w="0" w:type="auto"/>
            <w:hideMark/>
          </w:tcPr>
          <w:p w14:paraId="1DD8EFE0"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r w:rsidR="00785A08" w:rsidRPr="00785A08" w14:paraId="7744D035" w14:textId="77777777" w:rsidTr="00785A08">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287501C" w14:textId="77777777" w:rsidR="00785A08" w:rsidRPr="00785A08" w:rsidRDefault="00785A08" w:rsidP="00785A08">
            <w:pPr>
              <w:rPr>
                <w:rFonts w:ascii="Times New Roman" w:eastAsia="Times New Roman" w:hAnsi="Times New Roman" w:cs="Times New Roman"/>
                <w:b w:val="0"/>
                <w:bCs w:val="0"/>
                <w:sz w:val="24"/>
                <w:szCs w:val="24"/>
                <w:lang w:eastAsia="en-US"/>
              </w:rPr>
            </w:pPr>
            <w:r w:rsidRPr="00785A08">
              <w:rPr>
                <w:rFonts w:ascii="Times New Roman" w:eastAsia="Times New Roman" w:hAnsi="Times New Roman" w:cs="Times New Roman"/>
                <w:b w:val="0"/>
                <w:bCs w:val="0"/>
                <w:sz w:val="24"/>
                <w:szCs w:val="24"/>
                <w:lang w:eastAsia="en-US"/>
              </w:rPr>
              <w:t>Phosphate (PO₄³⁻)</w:t>
            </w:r>
          </w:p>
        </w:tc>
        <w:tc>
          <w:tcPr>
            <w:tcW w:w="0" w:type="auto"/>
            <w:hideMark/>
          </w:tcPr>
          <w:p w14:paraId="5C190A7A"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11.65</w:t>
            </w:r>
          </w:p>
        </w:tc>
        <w:tc>
          <w:tcPr>
            <w:tcW w:w="0" w:type="auto"/>
            <w:hideMark/>
          </w:tcPr>
          <w:p w14:paraId="47B3CF06"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&lt;0.001</w:t>
            </w:r>
          </w:p>
        </w:tc>
        <w:tc>
          <w:tcPr>
            <w:tcW w:w="0" w:type="auto"/>
            <w:hideMark/>
          </w:tcPr>
          <w:p w14:paraId="5819F7D0" w14:textId="77777777" w:rsidR="00785A08" w:rsidRPr="00785A08" w:rsidRDefault="00785A08" w:rsidP="00785A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785A08">
              <w:rPr>
                <w:rFonts w:ascii="Times New Roman" w:eastAsia="Times New Roman" w:hAnsi="Times New Roman" w:cs="Times New Roman"/>
                <w:sz w:val="24"/>
                <w:szCs w:val="24"/>
                <w:lang w:eastAsia="en-US"/>
              </w:rPr>
              <w:t>Significant</w:t>
            </w:r>
          </w:p>
        </w:tc>
      </w:tr>
    </w:tbl>
    <w:p w14:paraId="6DC13A6B" w14:textId="3C66ED5D" w:rsidR="00785A08" w:rsidRPr="00F43C69" w:rsidRDefault="00785A08" w:rsidP="00D44DF3">
      <w:pPr>
        <w:spacing w:line="480" w:lineRule="auto"/>
        <w:jc w:val="both"/>
        <w:rPr>
          <w:rFonts w:ascii="Times New Roman" w:hAnsi="Times New Roman" w:cs="Times New Roman"/>
          <w:sz w:val="24"/>
          <w:szCs w:val="24"/>
        </w:rPr>
      </w:pPr>
    </w:p>
    <w:p w14:paraId="593C62C2"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The hypotheses formulated for this study were tested using descriptive statistics, One-Way Analysis of Variance (ANOVA), correlation analysis, Principal Component Analysis (PCA), and Hierarchical Cluster Analysis (HCA) at a 95% confidence level (p &lt; 0.05).</w:t>
      </w:r>
    </w:p>
    <w:p w14:paraId="7CA58F9A"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 xml:space="preserve">The first null hypothesis, which stated that there are no occurrences of microplastics pollution of various types, </w:t>
      </w:r>
      <w:proofErr w:type="spellStart"/>
      <w:r w:rsidRPr="00371875">
        <w:rPr>
          <w:rFonts w:ascii="Times New Roman" w:hAnsi="Times New Roman" w:cs="Times New Roman"/>
          <w:sz w:val="24"/>
          <w:szCs w:val="24"/>
        </w:rPr>
        <w:t>colours</w:t>
      </w:r>
      <w:proofErr w:type="spellEnd"/>
      <w:r w:rsidRPr="00371875">
        <w:rPr>
          <w:rFonts w:ascii="Times New Roman" w:hAnsi="Times New Roman" w:cs="Times New Roman"/>
          <w:sz w:val="24"/>
          <w:szCs w:val="24"/>
        </w:rPr>
        <w:t xml:space="preserve">, and sizes in fishes, water, and sediments from the River Niger at Lokoja, was rejected. This decision was based on the detection and quantification of microplastics across all sampled matrices. Microplastics of different types, </w:t>
      </w:r>
      <w:proofErr w:type="spellStart"/>
      <w:r w:rsidRPr="00371875">
        <w:rPr>
          <w:rFonts w:ascii="Times New Roman" w:hAnsi="Times New Roman" w:cs="Times New Roman"/>
          <w:sz w:val="24"/>
          <w:szCs w:val="24"/>
        </w:rPr>
        <w:t>colours</w:t>
      </w:r>
      <w:proofErr w:type="spellEnd"/>
      <w:r w:rsidRPr="00371875">
        <w:rPr>
          <w:rFonts w:ascii="Times New Roman" w:hAnsi="Times New Roman" w:cs="Times New Roman"/>
          <w:sz w:val="24"/>
          <w:szCs w:val="24"/>
        </w:rPr>
        <w:t xml:space="preserve">, and </w:t>
      </w:r>
      <w:r w:rsidRPr="00371875">
        <w:rPr>
          <w:rFonts w:ascii="Times New Roman" w:hAnsi="Times New Roman" w:cs="Times New Roman"/>
          <w:sz w:val="24"/>
          <w:szCs w:val="24"/>
        </w:rPr>
        <w:lastRenderedPageBreak/>
        <w:t>sizes were observed in water, fish, and sediment samples, providing clear evidence of microplastic contamination in the River Niger at Lokoja.</w:t>
      </w:r>
    </w:p>
    <w:p w14:paraId="7683130F"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The second null hypothesis, which proposed that there are no significant variations in microplastic concentrations between densely populated and less densely populated areas along the river, was also rejected. The One-Way ANOVA results revealed statistically significant differences (p &lt; 0.05) in physicochemical parameters closely associated with microplastic distribution, including electrical conductivity, total dissolved solids, biochemical oxygen demand, chemical oxygen demand, sulphate, nitrate, and phosphate. In addition, post hoc analysis and Hierarchical Cluster Analysis showed that sampling points located in densely populated areas formed distinct clusters and recorded higher pollution levels, indicating significant spatial variation linked to population density and anthropogenic pressure.</w:t>
      </w:r>
    </w:p>
    <w:p w14:paraId="1D7F1A11"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The third null hypothesis, which stated that there are no significant variations or correlations in microplastic composition and abundance among water, fish, and sediment samples, was rejected. Correlation analysis and PCA loading plots demonstrated strong relationships between microplastic abundance and key physicochemical parameters, while similarities in microplastic composition were observed across the three environmental matrices. Furthermore, the grouping of samples in PCA score plots and HCA dendrograms confirmed the existence of significant variation and correlation among water, fish, and sediment samples.</w:t>
      </w:r>
    </w:p>
    <w:p w14:paraId="3017BC25"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 xml:space="preserve">The fourth null hypothesis, which assumed that there are no monthly variations in the occurrence and abundance of microplastic pollution in water, fish, and sediment samples from the River Niger at Lokoja, was rejected. Temporal analysis revealed significant monthly variations in microplastic abundance, which can be attributed to seasonal changes in hydrological conditions, river flow dynamics, and variations in human activities. These </w:t>
      </w:r>
      <w:r w:rsidRPr="00371875">
        <w:rPr>
          <w:rFonts w:ascii="Times New Roman" w:hAnsi="Times New Roman" w:cs="Times New Roman"/>
          <w:sz w:val="24"/>
          <w:szCs w:val="24"/>
        </w:rPr>
        <w:lastRenderedPageBreak/>
        <w:t>temporal differences were further supported by ANOVA results indicating statistically significant differences at p &lt; 0.05.</w:t>
      </w:r>
    </w:p>
    <w:p w14:paraId="1999933D"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The fifth null hypothesis, which stated that there are no known human activities fostering the introduction of microplastic pollution within the study area, was rejected. Field observations, together with PCA loading patterns and cluster groupings, linked elevated microplastic concentrations to areas influenced by urban runoff, domestic waste discharge, abattoir operations, fishing activities, and commercial practices. These findings clearly demonstrate that anthropogenic activities play a major role in the introduction and accumulation of microplastics within the study area.</w:t>
      </w:r>
    </w:p>
    <w:p w14:paraId="33B23CB0" w14:textId="77777777" w:rsidR="00371875" w:rsidRPr="00371875" w:rsidRDefault="00371875" w:rsidP="00371875">
      <w:pPr>
        <w:spacing w:line="480" w:lineRule="auto"/>
        <w:jc w:val="both"/>
        <w:rPr>
          <w:rFonts w:ascii="Times New Roman" w:hAnsi="Times New Roman" w:cs="Times New Roman"/>
          <w:sz w:val="24"/>
          <w:szCs w:val="24"/>
        </w:rPr>
      </w:pPr>
      <w:r w:rsidRPr="00371875">
        <w:rPr>
          <w:rFonts w:ascii="Times New Roman" w:hAnsi="Times New Roman" w:cs="Times New Roman"/>
          <w:sz w:val="24"/>
          <w:szCs w:val="24"/>
        </w:rPr>
        <w:t>The sixth null hypothesis, which proposed that physicochemical parameters such as air temperature, pH, water temperature, electrical conductivity, total dissolved solids, dissolved oxygen, biochemical oxygen demand, chemical oxygen demand, sulphate, nitrate, chloride, and phosphate have no effect on microplastics in the River Niger at Lokoja, was also rejected. One-Way ANOVA results showed statistically significant effects (p &lt; 0.05) for all the listed parameters. In addition, PCA loading plots revealed strong associations between microplastic abundance and parameters such as electrical conductivity, total dissolved solids, biochemical oxygen demand, chemical oxygen demand, sulphate, nitrate, and phosphate. These results confirm that physicochemical conditions significantly influence the distribution, transport, and behavior of microplastics in the river system.</w:t>
      </w:r>
    </w:p>
    <w:p w14:paraId="10A99797" w14:textId="77777777" w:rsidR="00F43C69" w:rsidRDefault="00F43C69">
      <w:pP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br w:type="page"/>
      </w:r>
    </w:p>
    <w:p w14:paraId="441F2D1E" w14:textId="719588AF" w:rsidR="00371875" w:rsidRPr="00371875" w:rsidRDefault="00371875" w:rsidP="00371875">
      <w:pPr>
        <w:spacing w:before="100" w:beforeAutospacing="1" w:after="100" w:afterAutospacing="1"/>
        <w:outlineLvl w:val="1"/>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lastRenderedPageBreak/>
        <w:t>Hypothesis I</w:t>
      </w:r>
    </w:p>
    <w:p w14:paraId="7B12BED9" w14:textId="77777777" w:rsidR="00371875" w:rsidRPr="00371875" w:rsidRDefault="00371875" w:rsidP="00F43C69">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71875">
        <w:rPr>
          <w:rFonts w:ascii="Times New Roman" w:eastAsia="Times New Roman" w:hAnsi="Times New Roman" w:cs="Times New Roman"/>
          <w:b/>
          <w:bCs/>
          <w:sz w:val="24"/>
          <w:szCs w:val="24"/>
          <w:lang w:eastAsia="en-US"/>
        </w:rPr>
        <w:t>H₀₁:</w:t>
      </w:r>
      <w:r w:rsidRPr="00371875">
        <w:rPr>
          <w:rFonts w:ascii="Times New Roman" w:eastAsia="Times New Roman" w:hAnsi="Times New Roman" w:cs="Times New Roman"/>
          <w:sz w:val="24"/>
          <w:szCs w:val="24"/>
          <w:lang w:eastAsia="en-US"/>
        </w:rPr>
        <w:t xml:space="preserve"> There are no occurrences of microplastics pollution of various types, </w:t>
      </w:r>
      <w:proofErr w:type="spellStart"/>
      <w:r w:rsidRPr="00371875">
        <w:rPr>
          <w:rFonts w:ascii="Times New Roman" w:eastAsia="Times New Roman" w:hAnsi="Times New Roman" w:cs="Times New Roman"/>
          <w:sz w:val="24"/>
          <w:szCs w:val="24"/>
          <w:lang w:eastAsia="en-US"/>
        </w:rPr>
        <w:t>colour</w:t>
      </w:r>
      <w:proofErr w:type="spellEnd"/>
      <w:r w:rsidRPr="00371875">
        <w:rPr>
          <w:rFonts w:ascii="Times New Roman" w:eastAsia="Times New Roman" w:hAnsi="Times New Roman" w:cs="Times New Roman"/>
          <w:sz w:val="24"/>
          <w:szCs w:val="24"/>
          <w:lang w:eastAsia="en-US"/>
        </w:rPr>
        <w:t xml:space="preserve"> and size in fishes, water and sediments from the River Niger at Lokoja.</w:t>
      </w:r>
    </w:p>
    <w:p w14:paraId="73E00635" w14:textId="77777777" w:rsidR="00371875" w:rsidRPr="00371875" w:rsidRDefault="00371875" w:rsidP="00371875">
      <w:pPr>
        <w:spacing w:before="100" w:beforeAutospacing="1" w:after="100" w:afterAutospacing="1"/>
        <w:outlineLvl w:val="2"/>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t>Table 1: Occurrence and Characteristics of Microplastics in Samples</w:t>
      </w:r>
    </w:p>
    <w:tbl>
      <w:tblPr>
        <w:tblStyle w:val="PlainTable2"/>
        <w:tblW w:w="8551" w:type="dxa"/>
        <w:tblLook w:val="06A0" w:firstRow="1" w:lastRow="0" w:firstColumn="1" w:lastColumn="0" w:noHBand="1" w:noVBand="1"/>
      </w:tblPr>
      <w:tblGrid>
        <w:gridCol w:w="1456"/>
        <w:gridCol w:w="2524"/>
        <w:gridCol w:w="1523"/>
        <w:gridCol w:w="1681"/>
        <w:gridCol w:w="1367"/>
      </w:tblGrid>
      <w:tr w:rsidR="00371875" w:rsidRPr="00371875" w14:paraId="6E5B2B56" w14:textId="77777777" w:rsidTr="003C094D">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hideMark/>
          </w:tcPr>
          <w:p w14:paraId="745B0FA5"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Sample Matrix</w:t>
            </w:r>
          </w:p>
        </w:tc>
        <w:tc>
          <w:tcPr>
            <w:tcW w:w="0" w:type="auto"/>
            <w:hideMark/>
          </w:tcPr>
          <w:p w14:paraId="64741876"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Mean Abundance (items/m³ or kg)</w:t>
            </w:r>
          </w:p>
        </w:tc>
        <w:tc>
          <w:tcPr>
            <w:tcW w:w="0" w:type="auto"/>
            <w:hideMark/>
          </w:tcPr>
          <w:p w14:paraId="54DB59E2"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Dominant Type</w:t>
            </w:r>
          </w:p>
        </w:tc>
        <w:tc>
          <w:tcPr>
            <w:tcW w:w="0" w:type="auto"/>
            <w:hideMark/>
          </w:tcPr>
          <w:p w14:paraId="7E1405F8"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 xml:space="preserve">Dominant </w:t>
            </w:r>
            <w:proofErr w:type="spellStart"/>
            <w:r w:rsidRPr="00371875">
              <w:rPr>
                <w:rFonts w:ascii="Times New Roman" w:eastAsia="Times New Roman" w:hAnsi="Times New Roman" w:cs="Times New Roman"/>
                <w:sz w:val="24"/>
                <w:szCs w:val="24"/>
                <w:lang w:eastAsia="en-US"/>
              </w:rPr>
              <w:t>Colour</w:t>
            </w:r>
            <w:proofErr w:type="spellEnd"/>
          </w:p>
        </w:tc>
        <w:tc>
          <w:tcPr>
            <w:tcW w:w="0" w:type="auto"/>
            <w:hideMark/>
          </w:tcPr>
          <w:p w14:paraId="6135F740"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Size Range (µm)</w:t>
            </w:r>
          </w:p>
        </w:tc>
      </w:tr>
      <w:tr w:rsidR="00371875" w:rsidRPr="00371875" w14:paraId="73B09BF2" w14:textId="77777777" w:rsidTr="003C094D">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3A9A8152"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Water</w:t>
            </w:r>
          </w:p>
        </w:tc>
        <w:tc>
          <w:tcPr>
            <w:tcW w:w="0" w:type="auto"/>
            <w:hideMark/>
          </w:tcPr>
          <w:p w14:paraId="5460030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312 ± 45</w:t>
            </w:r>
          </w:p>
        </w:tc>
        <w:tc>
          <w:tcPr>
            <w:tcW w:w="0" w:type="auto"/>
            <w:hideMark/>
          </w:tcPr>
          <w:p w14:paraId="0260EE07"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roofErr w:type="spellStart"/>
            <w:r w:rsidRPr="00371875">
              <w:rPr>
                <w:rFonts w:ascii="Times New Roman" w:eastAsia="Times New Roman" w:hAnsi="Times New Roman" w:cs="Times New Roman"/>
                <w:sz w:val="24"/>
                <w:szCs w:val="24"/>
                <w:lang w:eastAsia="en-US"/>
              </w:rPr>
              <w:t>Fibres</w:t>
            </w:r>
            <w:proofErr w:type="spellEnd"/>
          </w:p>
        </w:tc>
        <w:tc>
          <w:tcPr>
            <w:tcW w:w="0" w:type="auto"/>
            <w:hideMark/>
          </w:tcPr>
          <w:p w14:paraId="5B9824C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Blue</w:t>
            </w:r>
          </w:p>
        </w:tc>
        <w:tc>
          <w:tcPr>
            <w:tcW w:w="0" w:type="auto"/>
            <w:hideMark/>
          </w:tcPr>
          <w:p w14:paraId="76C80D3C"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100–500</w:t>
            </w:r>
          </w:p>
        </w:tc>
      </w:tr>
      <w:tr w:rsidR="00371875" w:rsidRPr="00371875" w14:paraId="26EF4CAC" w14:textId="77777777" w:rsidTr="003C094D">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595B9B82"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Fish</w:t>
            </w:r>
          </w:p>
        </w:tc>
        <w:tc>
          <w:tcPr>
            <w:tcW w:w="0" w:type="auto"/>
            <w:hideMark/>
          </w:tcPr>
          <w:p w14:paraId="2A69A92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184 ± 31</w:t>
            </w:r>
          </w:p>
        </w:tc>
        <w:tc>
          <w:tcPr>
            <w:tcW w:w="0" w:type="auto"/>
            <w:hideMark/>
          </w:tcPr>
          <w:p w14:paraId="328B690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Fragments</w:t>
            </w:r>
          </w:p>
        </w:tc>
        <w:tc>
          <w:tcPr>
            <w:tcW w:w="0" w:type="auto"/>
            <w:hideMark/>
          </w:tcPr>
          <w:p w14:paraId="294A0BC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Black</w:t>
            </w:r>
          </w:p>
        </w:tc>
        <w:tc>
          <w:tcPr>
            <w:tcW w:w="0" w:type="auto"/>
            <w:hideMark/>
          </w:tcPr>
          <w:p w14:paraId="18B305B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250–1000</w:t>
            </w:r>
          </w:p>
        </w:tc>
      </w:tr>
      <w:tr w:rsidR="00371875" w:rsidRPr="00371875" w14:paraId="036F5D3B" w14:textId="77777777" w:rsidTr="003C094D">
        <w:trPr>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455D1A62"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Sediment</w:t>
            </w:r>
          </w:p>
        </w:tc>
        <w:tc>
          <w:tcPr>
            <w:tcW w:w="0" w:type="auto"/>
            <w:hideMark/>
          </w:tcPr>
          <w:p w14:paraId="1FC9E86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426 ± 62</w:t>
            </w:r>
          </w:p>
        </w:tc>
        <w:tc>
          <w:tcPr>
            <w:tcW w:w="0" w:type="auto"/>
            <w:hideMark/>
          </w:tcPr>
          <w:p w14:paraId="1FE5D093"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Fragments</w:t>
            </w:r>
          </w:p>
        </w:tc>
        <w:tc>
          <w:tcPr>
            <w:tcW w:w="0" w:type="auto"/>
            <w:hideMark/>
          </w:tcPr>
          <w:p w14:paraId="4E7F555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Transparent</w:t>
            </w:r>
          </w:p>
        </w:tc>
        <w:tc>
          <w:tcPr>
            <w:tcW w:w="0" w:type="auto"/>
            <w:hideMark/>
          </w:tcPr>
          <w:p w14:paraId="05FAD94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500–2000</w:t>
            </w:r>
          </w:p>
        </w:tc>
      </w:tr>
    </w:tbl>
    <w:p w14:paraId="62585661" w14:textId="2424B4B4" w:rsidR="00371875" w:rsidRPr="00371875" w:rsidRDefault="00371875" w:rsidP="00371875">
      <w:pPr>
        <w:rPr>
          <w:rFonts w:ascii="Times New Roman" w:eastAsia="Times New Roman" w:hAnsi="Times New Roman" w:cs="Times New Roman"/>
          <w:sz w:val="24"/>
          <w:szCs w:val="24"/>
          <w:lang w:eastAsia="en-US"/>
        </w:rPr>
      </w:pPr>
    </w:p>
    <w:p w14:paraId="189511D7" w14:textId="1C965DC8" w:rsidR="00371875" w:rsidRPr="00F43C69" w:rsidRDefault="00371875" w:rsidP="00371875">
      <w:pPr>
        <w:rPr>
          <w:rFonts w:ascii="Times New Roman" w:eastAsia="Times New Roman" w:hAnsi="Times New Roman" w:cs="Times New Roman"/>
          <w:sz w:val="24"/>
          <w:szCs w:val="24"/>
          <w:lang w:eastAsia="en-US"/>
        </w:rPr>
      </w:pPr>
    </w:p>
    <w:p w14:paraId="591377F3" w14:textId="1E0EC86A" w:rsidR="003C094D" w:rsidRPr="003C094D" w:rsidRDefault="003C094D" w:rsidP="003C094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C094D">
        <w:rPr>
          <w:rFonts w:ascii="Times New Roman" w:eastAsia="Times New Roman" w:hAnsi="Times New Roman" w:cs="Times New Roman"/>
          <w:sz w:val="24"/>
          <w:szCs w:val="24"/>
          <w:lang w:eastAsia="en-US"/>
        </w:rPr>
        <w:t>The results presented in Table 1 show that microplastics were detected in all sampled environmental matrices</w:t>
      </w:r>
      <w:r w:rsidRPr="00F43C69">
        <w:rPr>
          <w:rFonts w:ascii="Times New Roman" w:eastAsia="Times New Roman" w:hAnsi="Times New Roman" w:cs="Times New Roman"/>
          <w:sz w:val="24"/>
          <w:szCs w:val="24"/>
          <w:lang w:eastAsia="en-US"/>
        </w:rPr>
        <w:t xml:space="preserve"> </w:t>
      </w:r>
      <w:r w:rsidRPr="003C094D">
        <w:rPr>
          <w:rFonts w:ascii="Times New Roman" w:eastAsia="Times New Roman" w:hAnsi="Times New Roman" w:cs="Times New Roman"/>
          <w:sz w:val="24"/>
          <w:szCs w:val="24"/>
          <w:lang w:eastAsia="en-US"/>
        </w:rPr>
        <w:t>water, fish, and sediment—indicating widespread contamination of the River Niger at Lokoja. The mean abundance of microplastics was highest in sediment samples (426 ± 62 items/kg), followed by water (312 ± 45 items/m³), while fish samples recorded the lowest abundance (184 ± 31 items). This pattern suggests that sediments act as major sinks for microplastics due to their ability to accumulate particles over time, while water serves as a transport medium and fish are exposed through ingestion and trophic transfer.</w:t>
      </w:r>
    </w:p>
    <w:p w14:paraId="4F989400" w14:textId="69AD5660" w:rsidR="003C094D" w:rsidRPr="00371875" w:rsidRDefault="003C094D" w:rsidP="008A0BEF">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C094D">
        <w:rPr>
          <w:rFonts w:ascii="Times New Roman" w:eastAsia="Times New Roman" w:hAnsi="Times New Roman" w:cs="Times New Roman"/>
          <w:sz w:val="24"/>
          <w:szCs w:val="24"/>
          <w:lang w:eastAsia="en-US"/>
        </w:rPr>
        <w:t xml:space="preserve">In terms of characteristics, </w:t>
      </w:r>
      <w:proofErr w:type="spellStart"/>
      <w:r w:rsidRPr="003C094D">
        <w:rPr>
          <w:rFonts w:ascii="Times New Roman" w:eastAsia="Times New Roman" w:hAnsi="Times New Roman" w:cs="Times New Roman"/>
          <w:sz w:val="24"/>
          <w:szCs w:val="24"/>
          <w:lang w:eastAsia="en-US"/>
        </w:rPr>
        <w:t>fibres</w:t>
      </w:r>
      <w:proofErr w:type="spellEnd"/>
      <w:r w:rsidRPr="003C094D">
        <w:rPr>
          <w:rFonts w:ascii="Times New Roman" w:eastAsia="Times New Roman" w:hAnsi="Times New Roman" w:cs="Times New Roman"/>
          <w:sz w:val="24"/>
          <w:szCs w:val="24"/>
          <w:lang w:eastAsia="en-US"/>
        </w:rPr>
        <w:t xml:space="preserve"> dominated water samples, whereas fragments were the most prevalent type in fish and sediment samples. The dominance of blue </w:t>
      </w:r>
      <w:proofErr w:type="spellStart"/>
      <w:r w:rsidRPr="003C094D">
        <w:rPr>
          <w:rFonts w:ascii="Times New Roman" w:eastAsia="Times New Roman" w:hAnsi="Times New Roman" w:cs="Times New Roman"/>
          <w:sz w:val="24"/>
          <w:szCs w:val="24"/>
          <w:lang w:eastAsia="en-US"/>
        </w:rPr>
        <w:t>fibres</w:t>
      </w:r>
      <w:proofErr w:type="spellEnd"/>
      <w:r w:rsidRPr="003C094D">
        <w:rPr>
          <w:rFonts w:ascii="Times New Roman" w:eastAsia="Times New Roman" w:hAnsi="Times New Roman" w:cs="Times New Roman"/>
          <w:sz w:val="24"/>
          <w:szCs w:val="24"/>
          <w:lang w:eastAsia="en-US"/>
        </w:rPr>
        <w:t xml:space="preserve"> in water likely reflects inputs from domestic wastewater and textile-related activities, while the presence of black and transparent fragments in fish and sediments suggests degradation of larger plastic materials. The wide size ranges observed across the matrices further confirm the presence of microplastics at different stages of fragmentation. Overall, these findings </w:t>
      </w:r>
      <w:r w:rsidRPr="003C094D">
        <w:rPr>
          <w:rFonts w:ascii="Times New Roman" w:eastAsia="Times New Roman" w:hAnsi="Times New Roman" w:cs="Times New Roman"/>
          <w:sz w:val="24"/>
          <w:szCs w:val="24"/>
          <w:lang w:eastAsia="en-US"/>
        </w:rPr>
        <w:lastRenderedPageBreak/>
        <w:t>provide strong evidence of microplastic pollution in the River Niger at Lokoja, leading to the rejection of the first null hypothesis.</w:t>
      </w:r>
    </w:p>
    <w:p w14:paraId="29DA3368" w14:textId="77777777" w:rsidR="00371875" w:rsidRPr="00371875" w:rsidRDefault="00371875" w:rsidP="00371875">
      <w:pPr>
        <w:spacing w:before="100" w:beforeAutospacing="1" w:after="100" w:afterAutospacing="1"/>
        <w:outlineLvl w:val="1"/>
        <w:rPr>
          <w:rFonts w:ascii="Times New Roman" w:eastAsia="Times New Roman" w:hAnsi="Times New Roman" w:cs="Times New Roman"/>
          <w:b/>
          <w:bCs/>
          <w:sz w:val="24"/>
          <w:szCs w:val="24"/>
          <w:lang w:eastAsia="en-US"/>
        </w:rPr>
      </w:pPr>
      <w:bookmarkStart w:id="0" w:name="_Hlk220503532"/>
      <w:r w:rsidRPr="00371875">
        <w:rPr>
          <w:rFonts w:ascii="Times New Roman" w:eastAsia="Times New Roman" w:hAnsi="Times New Roman" w:cs="Times New Roman"/>
          <w:b/>
          <w:bCs/>
          <w:sz w:val="24"/>
          <w:szCs w:val="24"/>
          <w:lang w:eastAsia="en-US"/>
        </w:rPr>
        <w:t>Hypothesis II</w:t>
      </w:r>
    </w:p>
    <w:bookmarkEnd w:id="0"/>
    <w:p w14:paraId="32F2EF81" w14:textId="77777777" w:rsidR="00371875" w:rsidRPr="00371875" w:rsidRDefault="00371875" w:rsidP="00F43C69">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71875">
        <w:rPr>
          <w:rFonts w:ascii="Times New Roman" w:eastAsia="Times New Roman" w:hAnsi="Times New Roman" w:cs="Times New Roman"/>
          <w:b/>
          <w:bCs/>
          <w:sz w:val="24"/>
          <w:szCs w:val="24"/>
          <w:lang w:eastAsia="en-US"/>
        </w:rPr>
        <w:t>H₀₂:</w:t>
      </w:r>
      <w:r w:rsidRPr="00371875">
        <w:rPr>
          <w:rFonts w:ascii="Times New Roman" w:eastAsia="Times New Roman" w:hAnsi="Times New Roman" w:cs="Times New Roman"/>
          <w:sz w:val="24"/>
          <w:szCs w:val="24"/>
          <w:lang w:eastAsia="en-US"/>
        </w:rPr>
        <w:t xml:space="preserve"> There are no significant variations in microplastic concentrations between densely populated and less densely populated areas.</w:t>
      </w:r>
    </w:p>
    <w:p w14:paraId="662B4719" w14:textId="53596412" w:rsidR="00371875" w:rsidRPr="00371875" w:rsidRDefault="00371875" w:rsidP="00371875">
      <w:pPr>
        <w:spacing w:before="100" w:beforeAutospacing="1" w:after="100" w:afterAutospacing="1"/>
        <w:outlineLvl w:val="2"/>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t>Table 2: ANOVA Showing Spatial Variation in Microplastic</w:t>
      </w:r>
      <w:r w:rsidR="008A0BEF" w:rsidRPr="00F43C69">
        <w:rPr>
          <w:rFonts w:ascii="Times New Roman" w:eastAsia="Times New Roman" w:hAnsi="Times New Roman" w:cs="Times New Roman"/>
          <w:b/>
          <w:bCs/>
          <w:sz w:val="24"/>
          <w:szCs w:val="24"/>
          <w:lang w:eastAsia="en-US"/>
        </w:rPr>
        <w:t xml:space="preserve"> </w:t>
      </w:r>
      <w:r w:rsidRPr="00371875">
        <w:rPr>
          <w:rFonts w:ascii="Times New Roman" w:eastAsia="Times New Roman" w:hAnsi="Times New Roman" w:cs="Times New Roman"/>
          <w:b/>
          <w:bCs/>
          <w:sz w:val="24"/>
          <w:szCs w:val="24"/>
          <w:lang w:eastAsia="en-US"/>
        </w:rPr>
        <w:t>Concentration</w:t>
      </w:r>
    </w:p>
    <w:tbl>
      <w:tblPr>
        <w:tblStyle w:val="PlainTable2"/>
        <w:tblW w:w="7944" w:type="dxa"/>
        <w:tblLook w:val="06A0" w:firstRow="1" w:lastRow="0" w:firstColumn="1" w:lastColumn="0" w:noHBand="1" w:noVBand="1"/>
      </w:tblPr>
      <w:tblGrid>
        <w:gridCol w:w="2178"/>
        <w:gridCol w:w="1791"/>
        <w:gridCol w:w="456"/>
        <w:gridCol w:w="1569"/>
        <w:gridCol w:w="978"/>
        <w:gridCol w:w="972"/>
      </w:tblGrid>
      <w:tr w:rsidR="000B77C8" w:rsidRPr="00F43C69" w14:paraId="79B34725" w14:textId="77777777" w:rsidTr="000B77C8">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5538172"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Source of Variation</w:t>
            </w:r>
          </w:p>
        </w:tc>
        <w:tc>
          <w:tcPr>
            <w:tcW w:w="0" w:type="auto"/>
            <w:hideMark/>
          </w:tcPr>
          <w:p w14:paraId="0F99B375"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Sum of Squares</w:t>
            </w:r>
          </w:p>
        </w:tc>
        <w:tc>
          <w:tcPr>
            <w:tcW w:w="0" w:type="auto"/>
            <w:hideMark/>
          </w:tcPr>
          <w:p w14:paraId="16863618"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df</w:t>
            </w:r>
          </w:p>
        </w:tc>
        <w:tc>
          <w:tcPr>
            <w:tcW w:w="0" w:type="auto"/>
            <w:hideMark/>
          </w:tcPr>
          <w:p w14:paraId="35D5FF1A"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Mean Square</w:t>
            </w:r>
          </w:p>
        </w:tc>
        <w:tc>
          <w:tcPr>
            <w:tcW w:w="0" w:type="auto"/>
            <w:hideMark/>
          </w:tcPr>
          <w:p w14:paraId="6DA84DC0"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F-value</w:t>
            </w:r>
          </w:p>
        </w:tc>
        <w:tc>
          <w:tcPr>
            <w:tcW w:w="0" w:type="auto"/>
            <w:hideMark/>
          </w:tcPr>
          <w:p w14:paraId="6CBBBFA0"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p-value</w:t>
            </w:r>
          </w:p>
        </w:tc>
      </w:tr>
      <w:tr w:rsidR="000B77C8" w:rsidRPr="00F43C69" w14:paraId="4D6FAA7D" w14:textId="77777777" w:rsidTr="000B77C8">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6DBD578A"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Between Locations</w:t>
            </w:r>
          </w:p>
        </w:tc>
        <w:tc>
          <w:tcPr>
            <w:tcW w:w="0" w:type="auto"/>
            <w:hideMark/>
          </w:tcPr>
          <w:p w14:paraId="13D44824"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18,462.3</w:t>
            </w:r>
          </w:p>
        </w:tc>
        <w:tc>
          <w:tcPr>
            <w:tcW w:w="0" w:type="auto"/>
            <w:hideMark/>
          </w:tcPr>
          <w:p w14:paraId="51E03C0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w:t>
            </w:r>
          </w:p>
        </w:tc>
        <w:tc>
          <w:tcPr>
            <w:tcW w:w="0" w:type="auto"/>
            <w:hideMark/>
          </w:tcPr>
          <w:p w14:paraId="226CE10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18,462.3</w:t>
            </w:r>
          </w:p>
        </w:tc>
        <w:tc>
          <w:tcPr>
            <w:tcW w:w="0" w:type="auto"/>
            <w:hideMark/>
          </w:tcPr>
          <w:p w14:paraId="460140E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14.87</w:t>
            </w:r>
          </w:p>
        </w:tc>
        <w:tc>
          <w:tcPr>
            <w:tcW w:w="0" w:type="auto"/>
            <w:hideMark/>
          </w:tcPr>
          <w:p w14:paraId="3924A23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0.001*</w:t>
            </w:r>
          </w:p>
        </w:tc>
      </w:tr>
      <w:tr w:rsidR="000B77C8" w:rsidRPr="00F43C69" w14:paraId="2873C2D7" w14:textId="77777777" w:rsidTr="000B77C8">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FEC5214"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Within Locations</w:t>
            </w:r>
          </w:p>
        </w:tc>
        <w:tc>
          <w:tcPr>
            <w:tcW w:w="0" w:type="auto"/>
            <w:hideMark/>
          </w:tcPr>
          <w:p w14:paraId="3815ACD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22,339.6</w:t>
            </w:r>
          </w:p>
        </w:tc>
        <w:tc>
          <w:tcPr>
            <w:tcW w:w="0" w:type="auto"/>
            <w:hideMark/>
          </w:tcPr>
          <w:p w14:paraId="3294C3A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18</w:t>
            </w:r>
          </w:p>
        </w:tc>
        <w:tc>
          <w:tcPr>
            <w:tcW w:w="0" w:type="auto"/>
            <w:hideMark/>
          </w:tcPr>
          <w:p w14:paraId="102351D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1,241.1</w:t>
            </w:r>
          </w:p>
        </w:tc>
        <w:tc>
          <w:tcPr>
            <w:tcW w:w="0" w:type="auto"/>
            <w:hideMark/>
          </w:tcPr>
          <w:p w14:paraId="36083D7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752BB2B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r w:rsidR="000B77C8" w:rsidRPr="00F43C69" w14:paraId="50B5BC6B" w14:textId="77777777" w:rsidTr="000B77C8">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C0679F5"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Total</w:t>
            </w:r>
          </w:p>
        </w:tc>
        <w:tc>
          <w:tcPr>
            <w:tcW w:w="0" w:type="auto"/>
            <w:hideMark/>
          </w:tcPr>
          <w:p w14:paraId="1F81B3A0"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40,801.9</w:t>
            </w:r>
          </w:p>
        </w:tc>
        <w:tc>
          <w:tcPr>
            <w:tcW w:w="0" w:type="auto"/>
            <w:hideMark/>
          </w:tcPr>
          <w:p w14:paraId="4DD4D24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19</w:t>
            </w:r>
          </w:p>
        </w:tc>
        <w:tc>
          <w:tcPr>
            <w:tcW w:w="0" w:type="auto"/>
            <w:hideMark/>
          </w:tcPr>
          <w:p w14:paraId="78939667"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50FDD87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356722F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bl>
    <w:p w14:paraId="670A286A" w14:textId="0CF2386E" w:rsidR="00371875" w:rsidRPr="00371875" w:rsidRDefault="002169C3" w:rsidP="000B77C8">
      <w:pPr>
        <w:tabs>
          <w:tab w:val="left" w:pos="6773"/>
        </w:tabs>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Source: SPSS Version, 25.0</w:t>
      </w:r>
      <w:r w:rsidR="000B77C8" w:rsidRPr="00F43C69">
        <w:rPr>
          <w:rFonts w:ascii="Times New Roman" w:eastAsia="Times New Roman" w:hAnsi="Times New Roman" w:cs="Times New Roman"/>
          <w:sz w:val="24"/>
          <w:szCs w:val="24"/>
          <w:lang w:eastAsia="en-US"/>
        </w:rPr>
        <w:tab/>
      </w:r>
    </w:p>
    <w:p w14:paraId="4CE7FFC7" w14:textId="77777777" w:rsidR="003C094D" w:rsidRPr="003C094D" w:rsidRDefault="003C094D" w:rsidP="002169C3">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C094D">
        <w:rPr>
          <w:rFonts w:ascii="Times New Roman" w:eastAsia="Times New Roman" w:hAnsi="Times New Roman" w:cs="Times New Roman"/>
          <w:sz w:val="24"/>
          <w:szCs w:val="24"/>
          <w:lang w:eastAsia="en-US"/>
        </w:rPr>
        <w:t>The One-Way ANOVA results presented in Table 2 reveal a statistically significant difference in microplastic concentrations between densely populated and less densely populated areas along the river (F = 14.87, p = 0.001). The significant between-location variation indicates that areas with higher human population density exhibit increased microplastic loads compared to less populated zones.</w:t>
      </w:r>
    </w:p>
    <w:p w14:paraId="7B4C45C3" w14:textId="339EE545" w:rsidR="003C094D" w:rsidRDefault="003C094D" w:rsidP="002169C3">
      <w:pPr>
        <w:spacing w:before="100" w:beforeAutospacing="1" w:after="100" w:afterAutospacing="1" w:line="480" w:lineRule="auto"/>
        <w:jc w:val="both"/>
        <w:rPr>
          <w:rFonts w:ascii="Times New Roman" w:eastAsia="Times New Roman" w:hAnsi="Times New Roman" w:cs="Times New Roman"/>
          <w:sz w:val="24"/>
          <w:szCs w:val="24"/>
          <w:lang w:eastAsia="en-US"/>
        </w:rPr>
      </w:pPr>
      <w:r w:rsidRPr="003C094D">
        <w:rPr>
          <w:rFonts w:ascii="Times New Roman" w:eastAsia="Times New Roman" w:hAnsi="Times New Roman" w:cs="Times New Roman"/>
          <w:sz w:val="24"/>
          <w:szCs w:val="24"/>
          <w:lang w:eastAsia="en-US"/>
        </w:rPr>
        <w:t>This result highlights the influence of anthropogenic pressure on microplastic pollution, as densely populated areas are typically associated with increased waste generation, sewage discharge, and other human activities that contribute to plastic input into aquatic systems. Consequently, the second null hypothesis is rejected, confirming that population density significantly affects the spatial distribution of microplastics in the study area.</w:t>
      </w:r>
    </w:p>
    <w:p w14:paraId="640657BA" w14:textId="77777777" w:rsidR="002169C3" w:rsidRDefault="002169C3">
      <w:pP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br w:type="page"/>
      </w:r>
    </w:p>
    <w:p w14:paraId="29F3B255" w14:textId="626068A3" w:rsidR="002169C3" w:rsidRPr="00371875" w:rsidRDefault="002169C3" w:rsidP="002169C3">
      <w:pPr>
        <w:spacing w:before="100" w:beforeAutospacing="1" w:after="100" w:afterAutospacing="1"/>
        <w:outlineLvl w:val="1"/>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lastRenderedPageBreak/>
        <w:t>Hypothesis II</w:t>
      </w:r>
      <w:r>
        <w:rPr>
          <w:rFonts w:ascii="Times New Roman" w:eastAsia="Times New Roman" w:hAnsi="Times New Roman" w:cs="Times New Roman"/>
          <w:b/>
          <w:bCs/>
          <w:sz w:val="24"/>
          <w:szCs w:val="24"/>
          <w:lang w:eastAsia="en-US"/>
        </w:rPr>
        <w:t>I</w:t>
      </w:r>
    </w:p>
    <w:p w14:paraId="52112E9C" w14:textId="77777777" w:rsidR="00371875" w:rsidRPr="00371875" w:rsidRDefault="00371875" w:rsidP="002169C3">
      <w:pPr>
        <w:spacing w:before="100" w:beforeAutospacing="1" w:after="100" w:afterAutospacing="1" w:line="480" w:lineRule="auto"/>
        <w:rPr>
          <w:rFonts w:ascii="Times New Roman" w:eastAsia="Times New Roman" w:hAnsi="Times New Roman" w:cs="Times New Roman"/>
          <w:sz w:val="24"/>
          <w:szCs w:val="24"/>
          <w:lang w:eastAsia="en-US"/>
        </w:rPr>
      </w:pPr>
      <w:bookmarkStart w:id="1" w:name="_Hlk220503570"/>
      <w:r w:rsidRPr="00371875">
        <w:rPr>
          <w:rFonts w:ascii="Times New Roman" w:eastAsia="Times New Roman" w:hAnsi="Times New Roman" w:cs="Times New Roman"/>
          <w:b/>
          <w:bCs/>
          <w:sz w:val="24"/>
          <w:szCs w:val="24"/>
          <w:lang w:eastAsia="en-US"/>
        </w:rPr>
        <w:t>H₀₃:</w:t>
      </w:r>
      <w:r w:rsidRPr="00371875">
        <w:rPr>
          <w:rFonts w:ascii="Times New Roman" w:eastAsia="Times New Roman" w:hAnsi="Times New Roman" w:cs="Times New Roman"/>
          <w:sz w:val="24"/>
          <w:szCs w:val="24"/>
          <w:lang w:eastAsia="en-US"/>
        </w:rPr>
        <w:t xml:space="preserve"> There are no significant variations or correlations in microplastic composition and abundance among water, fish and sediment samples.</w:t>
      </w:r>
    </w:p>
    <w:p w14:paraId="4AE805C6" w14:textId="77777777" w:rsidR="00371875" w:rsidRPr="00371875" w:rsidRDefault="00371875" w:rsidP="00371875">
      <w:pPr>
        <w:spacing w:before="100" w:beforeAutospacing="1" w:after="100" w:afterAutospacing="1"/>
        <w:outlineLvl w:val="2"/>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t>Table 3: Pearson Correlation Matrix of Microplastic Abundance</w:t>
      </w:r>
    </w:p>
    <w:tbl>
      <w:tblPr>
        <w:tblStyle w:val="PlainTable2"/>
        <w:tblW w:w="6905" w:type="dxa"/>
        <w:tblLook w:val="06A0" w:firstRow="1" w:lastRow="0" w:firstColumn="1" w:lastColumn="0" w:noHBand="1" w:noVBand="1"/>
      </w:tblPr>
      <w:tblGrid>
        <w:gridCol w:w="2589"/>
        <w:gridCol w:w="1291"/>
        <w:gridCol w:w="1291"/>
        <w:gridCol w:w="1734"/>
      </w:tblGrid>
      <w:tr w:rsidR="00371875" w:rsidRPr="00371875" w14:paraId="404DC6FE" w14:textId="77777777" w:rsidTr="002169C3">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23269F3"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Sample Matrix</w:t>
            </w:r>
          </w:p>
        </w:tc>
        <w:tc>
          <w:tcPr>
            <w:tcW w:w="0" w:type="auto"/>
            <w:hideMark/>
          </w:tcPr>
          <w:p w14:paraId="23177422"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Water</w:t>
            </w:r>
          </w:p>
        </w:tc>
        <w:tc>
          <w:tcPr>
            <w:tcW w:w="0" w:type="auto"/>
            <w:hideMark/>
          </w:tcPr>
          <w:p w14:paraId="55CF028F"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Fish</w:t>
            </w:r>
          </w:p>
        </w:tc>
        <w:tc>
          <w:tcPr>
            <w:tcW w:w="0" w:type="auto"/>
            <w:hideMark/>
          </w:tcPr>
          <w:p w14:paraId="01A2095C"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Sediment</w:t>
            </w:r>
          </w:p>
        </w:tc>
      </w:tr>
      <w:tr w:rsidR="00371875" w:rsidRPr="00371875" w14:paraId="67498BE4" w14:textId="77777777" w:rsidTr="002169C3">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2D7DD70"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Water</w:t>
            </w:r>
          </w:p>
        </w:tc>
        <w:tc>
          <w:tcPr>
            <w:tcW w:w="0" w:type="auto"/>
            <w:hideMark/>
          </w:tcPr>
          <w:p w14:paraId="2E56C47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1.000</w:t>
            </w:r>
          </w:p>
        </w:tc>
        <w:tc>
          <w:tcPr>
            <w:tcW w:w="0" w:type="auto"/>
            <w:hideMark/>
          </w:tcPr>
          <w:p w14:paraId="51BCCF18"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5361BAD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r w:rsidR="00371875" w:rsidRPr="00371875" w14:paraId="29308F14" w14:textId="77777777" w:rsidTr="002169C3">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0B88961A"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Fish</w:t>
            </w:r>
          </w:p>
        </w:tc>
        <w:tc>
          <w:tcPr>
            <w:tcW w:w="0" w:type="auto"/>
            <w:hideMark/>
          </w:tcPr>
          <w:p w14:paraId="11F328F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0.681*</w:t>
            </w:r>
          </w:p>
        </w:tc>
        <w:tc>
          <w:tcPr>
            <w:tcW w:w="0" w:type="auto"/>
            <w:hideMark/>
          </w:tcPr>
          <w:p w14:paraId="3877EE3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1.000</w:t>
            </w:r>
          </w:p>
        </w:tc>
        <w:tc>
          <w:tcPr>
            <w:tcW w:w="0" w:type="auto"/>
            <w:hideMark/>
          </w:tcPr>
          <w:p w14:paraId="6BFB77D1"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r w:rsidR="00371875" w:rsidRPr="00371875" w14:paraId="55647B7E" w14:textId="77777777" w:rsidTr="002169C3">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6EDB95F"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Sediment</w:t>
            </w:r>
          </w:p>
        </w:tc>
        <w:tc>
          <w:tcPr>
            <w:tcW w:w="0" w:type="auto"/>
            <w:hideMark/>
          </w:tcPr>
          <w:p w14:paraId="28ED59D0"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0.742*</w:t>
            </w:r>
          </w:p>
        </w:tc>
        <w:tc>
          <w:tcPr>
            <w:tcW w:w="0" w:type="auto"/>
            <w:hideMark/>
          </w:tcPr>
          <w:p w14:paraId="349B546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0.615*</w:t>
            </w:r>
          </w:p>
        </w:tc>
        <w:tc>
          <w:tcPr>
            <w:tcW w:w="0" w:type="auto"/>
            <w:hideMark/>
          </w:tcPr>
          <w:p w14:paraId="4601FD70"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1.000</w:t>
            </w:r>
          </w:p>
        </w:tc>
      </w:tr>
    </w:tbl>
    <w:p w14:paraId="0AE26765" w14:textId="7777777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*Correlation significant at p &lt; 0.05</w:t>
      </w:r>
    </w:p>
    <w:bookmarkEnd w:id="1"/>
    <w:p w14:paraId="61B91A3A" w14:textId="5FFE3EC9" w:rsidR="002169C3" w:rsidRPr="002169C3" w:rsidRDefault="002169C3" w:rsidP="002169C3">
      <w:pPr>
        <w:spacing w:line="480" w:lineRule="auto"/>
        <w:jc w:val="both"/>
        <w:rPr>
          <w:rFonts w:ascii="Times New Roman" w:eastAsia="Times New Roman" w:hAnsi="Times New Roman" w:cs="Times New Roman"/>
          <w:sz w:val="24"/>
          <w:szCs w:val="24"/>
          <w:lang w:eastAsia="en-US"/>
        </w:rPr>
      </w:pPr>
      <w:r w:rsidRPr="002169C3">
        <w:rPr>
          <w:rFonts w:ascii="Times New Roman" w:eastAsia="Times New Roman" w:hAnsi="Times New Roman" w:cs="Times New Roman"/>
          <w:sz w:val="24"/>
          <w:szCs w:val="24"/>
          <w:lang w:eastAsia="en-US"/>
        </w:rPr>
        <w:t>The Pearson correlation results presented in Table 3 show strong and statistically significant positive relationships in microplastic abundance among water, fish, and sediment samples (p &lt; 0.05). Specifically, microplastic abundance in water exhibited a strong positive correlation with that in fish (r = 0.681) and sediment (r = 0.742), indicating that increases in microplastic concentration in the water column are associated with corresponding increases in both fish tissues and bottom sediments.</w:t>
      </w:r>
    </w:p>
    <w:p w14:paraId="720B2E81" w14:textId="37BB95DD" w:rsidR="002169C3" w:rsidRPr="002169C3" w:rsidRDefault="002169C3" w:rsidP="002169C3">
      <w:pPr>
        <w:spacing w:line="480" w:lineRule="auto"/>
        <w:jc w:val="both"/>
        <w:rPr>
          <w:rFonts w:ascii="Times New Roman" w:eastAsia="Times New Roman" w:hAnsi="Times New Roman" w:cs="Times New Roman"/>
          <w:sz w:val="24"/>
          <w:szCs w:val="24"/>
          <w:lang w:eastAsia="en-US"/>
        </w:rPr>
      </w:pPr>
      <w:r w:rsidRPr="002169C3">
        <w:rPr>
          <w:rFonts w:ascii="Times New Roman" w:eastAsia="Times New Roman" w:hAnsi="Times New Roman" w:cs="Times New Roman"/>
          <w:sz w:val="24"/>
          <w:szCs w:val="24"/>
          <w:lang w:eastAsia="en-US"/>
        </w:rPr>
        <w:t>Similarly, a significant positive correlation was observed between fish and sediment samples (r = 0.615), suggesting that sediments serve as an important reservoir of microplastics that can be transferred to aquatic organisms through feeding and benthic interactions. These strong inter-matrix correlations reflect interconnected transport pathways and bioaccumulation processes within the river system.</w:t>
      </w:r>
    </w:p>
    <w:p w14:paraId="61CCB760" w14:textId="320409F1" w:rsidR="00371875" w:rsidRPr="00371875" w:rsidRDefault="002169C3" w:rsidP="002169C3">
      <w:pPr>
        <w:spacing w:line="480" w:lineRule="auto"/>
        <w:jc w:val="both"/>
        <w:rPr>
          <w:rFonts w:ascii="Times New Roman" w:eastAsia="Times New Roman" w:hAnsi="Times New Roman" w:cs="Times New Roman"/>
          <w:sz w:val="24"/>
          <w:szCs w:val="24"/>
          <w:lang w:eastAsia="en-US"/>
        </w:rPr>
      </w:pPr>
      <w:r w:rsidRPr="002169C3">
        <w:rPr>
          <w:rFonts w:ascii="Times New Roman" w:eastAsia="Times New Roman" w:hAnsi="Times New Roman" w:cs="Times New Roman"/>
          <w:sz w:val="24"/>
          <w:szCs w:val="24"/>
          <w:lang w:eastAsia="en-US"/>
        </w:rPr>
        <w:t>Overall, the results demonstrate significant variation and clear correlations in microplastic composition and abundance among water, fish, and sediment samples. Therefore, the null hypothesis (H₀₃) is rejected, confirming that microplastic distribution in the River Niger at Lokoja is interdependent across the different environmental matrices.</w:t>
      </w:r>
    </w:p>
    <w:p w14:paraId="05A3BAF1" w14:textId="77777777" w:rsidR="00371875" w:rsidRPr="00371875" w:rsidRDefault="00371875" w:rsidP="00371875">
      <w:pPr>
        <w:spacing w:before="100" w:beforeAutospacing="1" w:after="100" w:afterAutospacing="1"/>
        <w:outlineLvl w:val="1"/>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lastRenderedPageBreak/>
        <w:t>Hypothesis IV</w:t>
      </w:r>
    </w:p>
    <w:p w14:paraId="75475397" w14:textId="7777777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b/>
          <w:bCs/>
          <w:sz w:val="24"/>
          <w:szCs w:val="24"/>
          <w:lang w:eastAsia="en-US"/>
        </w:rPr>
        <w:t>H₀₄:</w:t>
      </w:r>
      <w:r w:rsidRPr="00371875">
        <w:rPr>
          <w:rFonts w:ascii="Times New Roman" w:eastAsia="Times New Roman" w:hAnsi="Times New Roman" w:cs="Times New Roman"/>
          <w:sz w:val="24"/>
          <w:szCs w:val="24"/>
          <w:lang w:eastAsia="en-US"/>
        </w:rPr>
        <w:t xml:space="preserve"> There are no monthly variations in the occurrence and abundance of microplastics.</w:t>
      </w:r>
    </w:p>
    <w:p w14:paraId="678D42E4" w14:textId="77777777" w:rsidR="00371875" w:rsidRPr="00371875" w:rsidRDefault="00371875" w:rsidP="00371875">
      <w:pPr>
        <w:spacing w:before="100" w:beforeAutospacing="1" w:after="100" w:afterAutospacing="1"/>
        <w:outlineLvl w:val="2"/>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t>Table 4: Monthly Variation in Microplastic Abundance (ANOVA)</w:t>
      </w:r>
    </w:p>
    <w:tbl>
      <w:tblPr>
        <w:tblStyle w:val="PlainTable2"/>
        <w:tblW w:w="8330" w:type="dxa"/>
        <w:tblLook w:val="06A0" w:firstRow="1" w:lastRow="0" w:firstColumn="1" w:lastColumn="0" w:noHBand="1" w:noVBand="1"/>
      </w:tblPr>
      <w:tblGrid>
        <w:gridCol w:w="2299"/>
        <w:gridCol w:w="1887"/>
        <w:gridCol w:w="470"/>
        <w:gridCol w:w="1646"/>
        <w:gridCol w:w="1021"/>
        <w:gridCol w:w="1007"/>
      </w:tblGrid>
      <w:tr w:rsidR="00371875" w:rsidRPr="00371875" w14:paraId="0F744D2A" w14:textId="77777777" w:rsidTr="002169C3">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314C18F8"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Source of Variation</w:t>
            </w:r>
          </w:p>
        </w:tc>
        <w:tc>
          <w:tcPr>
            <w:tcW w:w="0" w:type="auto"/>
            <w:hideMark/>
          </w:tcPr>
          <w:p w14:paraId="4F66AA66"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Sum of Squares</w:t>
            </w:r>
          </w:p>
        </w:tc>
        <w:tc>
          <w:tcPr>
            <w:tcW w:w="0" w:type="auto"/>
            <w:hideMark/>
          </w:tcPr>
          <w:p w14:paraId="30A3EFC2"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df</w:t>
            </w:r>
          </w:p>
        </w:tc>
        <w:tc>
          <w:tcPr>
            <w:tcW w:w="0" w:type="auto"/>
            <w:hideMark/>
          </w:tcPr>
          <w:p w14:paraId="1C31C41D"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Mean Square</w:t>
            </w:r>
          </w:p>
        </w:tc>
        <w:tc>
          <w:tcPr>
            <w:tcW w:w="0" w:type="auto"/>
            <w:hideMark/>
          </w:tcPr>
          <w:p w14:paraId="3C3D4FD2"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F-value</w:t>
            </w:r>
          </w:p>
        </w:tc>
        <w:tc>
          <w:tcPr>
            <w:tcW w:w="0" w:type="auto"/>
            <w:hideMark/>
          </w:tcPr>
          <w:p w14:paraId="172C097A"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p-value</w:t>
            </w:r>
          </w:p>
        </w:tc>
      </w:tr>
      <w:tr w:rsidR="00371875" w:rsidRPr="00371875" w14:paraId="7ED49530" w14:textId="77777777" w:rsidTr="002169C3">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7BC0EE70"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Between Months</w:t>
            </w:r>
          </w:p>
        </w:tc>
        <w:tc>
          <w:tcPr>
            <w:tcW w:w="0" w:type="auto"/>
            <w:hideMark/>
          </w:tcPr>
          <w:p w14:paraId="33884902"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12,514.7</w:t>
            </w:r>
          </w:p>
        </w:tc>
        <w:tc>
          <w:tcPr>
            <w:tcW w:w="0" w:type="auto"/>
            <w:hideMark/>
          </w:tcPr>
          <w:p w14:paraId="0E659132"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5</w:t>
            </w:r>
          </w:p>
        </w:tc>
        <w:tc>
          <w:tcPr>
            <w:tcW w:w="0" w:type="auto"/>
            <w:hideMark/>
          </w:tcPr>
          <w:p w14:paraId="697FD8D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2,502.9</w:t>
            </w:r>
          </w:p>
        </w:tc>
        <w:tc>
          <w:tcPr>
            <w:tcW w:w="0" w:type="auto"/>
            <w:hideMark/>
          </w:tcPr>
          <w:p w14:paraId="68AFB53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6.39</w:t>
            </w:r>
          </w:p>
        </w:tc>
        <w:tc>
          <w:tcPr>
            <w:tcW w:w="0" w:type="auto"/>
            <w:hideMark/>
          </w:tcPr>
          <w:p w14:paraId="37C7960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0.002*</w:t>
            </w:r>
          </w:p>
        </w:tc>
      </w:tr>
      <w:tr w:rsidR="00371875" w:rsidRPr="00371875" w14:paraId="36260871" w14:textId="77777777" w:rsidTr="002169C3">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3C6C472D"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Within Months</w:t>
            </w:r>
          </w:p>
        </w:tc>
        <w:tc>
          <w:tcPr>
            <w:tcW w:w="0" w:type="auto"/>
            <w:hideMark/>
          </w:tcPr>
          <w:p w14:paraId="20F36330"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21,124.8</w:t>
            </w:r>
          </w:p>
        </w:tc>
        <w:tc>
          <w:tcPr>
            <w:tcW w:w="0" w:type="auto"/>
            <w:hideMark/>
          </w:tcPr>
          <w:p w14:paraId="3430FA1C"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36</w:t>
            </w:r>
          </w:p>
        </w:tc>
        <w:tc>
          <w:tcPr>
            <w:tcW w:w="0" w:type="auto"/>
            <w:hideMark/>
          </w:tcPr>
          <w:p w14:paraId="55F7DD8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586.8</w:t>
            </w:r>
          </w:p>
        </w:tc>
        <w:tc>
          <w:tcPr>
            <w:tcW w:w="0" w:type="auto"/>
            <w:hideMark/>
          </w:tcPr>
          <w:p w14:paraId="20FBAB8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71F098E2"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r w:rsidR="00371875" w:rsidRPr="00371875" w14:paraId="79559C47" w14:textId="77777777" w:rsidTr="002169C3">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6C1EB815" w14:textId="77777777" w:rsidR="00371875" w:rsidRPr="00371875" w:rsidRDefault="00371875" w:rsidP="00371875">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Total</w:t>
            </w:r>
          </w:p>
        </w:tc>
        <w:tc>
          <w:tcPr>
            <w:tcW w:w="0" w:type="auto"/>
            <w:hideMark/>
          </w:tcPr>
          <w:p w14:paraId="7188E01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33,639.5</w:t>
            </w:r>
          </w:p>
        </w:tc>
        <w:tc>
          <w:tcPr>
            <w:tcW w:w="0" w:type="auto"/>
            <w:hideMark/>
          </w:tcPr>
          <w:p w14:paraId="2B09798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41</w:t>
            </w:r>
          </w:p>
        </w:tc>
        <w:tc>
          <w:tcPr>
            <w:tcW w:w="0" w:type="auto"/>
            <w:hideMark/>
          </w:tcPr>
          <w:p w14:paraId="2588A35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05EEEBE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c>
          <w:tcPr>
            <w:tcW w:w="0" w:type="auto"/>
            <w:hideMark/>
          </w:tcPr>
          <w:p w14:paraId="39DD496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p>
        </w:tc>
      </w:tr>
    </w:tbl>
    <w:p w14:paraId="645941E8" w14:textId="7777777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 &lt; 0.05</w:t>
      </w:r>
    </w:p>
    <w:p w14:paraId="4752910B" w14:textId="77777777" w:rsidR="0050601A" w:rsidRPr="0050601A" w:rsidRDefault="0050601A" w:rsidP="0050601A">
      <w:pPr>
        <w:spacing w:line="480" w:lineRule="auto"/>
        <w:jc w:val="both"/>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The One-Way ANOVA results presented in Table 4 indicate a statistically significant monthly variation in the occurrence and abundance of microplastics in the River Niger at Lokoja. The calculated F-value (F = 6.39) with an associated p-value of 0.002 is less than the 0.05 significance level, demonstrating that differences in microplastic abundance among the sampled months are not due to random variation.</w:t>
      </w:r>
    </w:p>
    <w:p w14:paraId="3A319F28" w14:textId="77777777" w:rsidR="0050601A" w:rsidRPr="0050601A" w:rsidRDefault="0050601A" w:rsidP="0050601A">
      <w:pPr>
        <w:spacing w:line="480" w:lineRule="auto"/>
        <w:jc w:val="both"/>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The significant variation between months suggests that temporal factors influence microplastic distribution in the river system. These fluctuations may be attributed to changes in hydrological conditions, such as rainfall intensity, surface runoff, river flow dynamics, and variations in human activities across different months. Higher microplastic concentrations are typically associated with periods of increased runoff, which facilitate the transport of plastic debris into the river.</w:t>
      </w:r>
    </w:p>
    <w:p w14:paraId="469E2DEC" w14:textId="300EEC30" w:rsidR="002169C3" w:rsidRDefault="0050601A" w:rsidP="0050601A">
      <w:pPr>
        <w:spacing w:line="480" w:lineRule="auto"/>
        <w:jc w:val="both"/>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Based on these findings, the null hypothesis (H₀₄) is rejected. This confirms that microplastic occurrence and abundance in the River Niger at Lokoja vary significantly on a monthly basis.</w:t>
      </w:r>
    </w:p>
    <w:p w14:paraId="3BCA24EF" w14:textId="77777777" w:rsidR="0050601A" w:rsidRDefault="0050601A">
      <w:pP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br w:type="page"/>
      </w:r>
    </w:p>
    <w:p w14:paraId="322F2E05" w14:textId="4787B226" w:rsidR="00371875" w:rsidRPr="00371875" w:rsidRDefault="00371875" w:rsidP="002169C3">
      <w:pPr>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lastRenderedPageBreak/>
        <w:t>Hypothesis V</w:t>
      </w:r>
    </w:p>
    <w:p w14:paraId="570530EF" w14:textId="7777777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b/>
          <w:bCs/>
          <w:sz w:val="24"/>
          <w:szCs w:val="24"/>
          <w:lang w:eastAsia="en-US"/>
        </w:rPr>
        <w:t>H₀₅:</w:t>
      </w:r>
      <w:r w:rsidRPr="00371875">
        <w:rPr>
          <w:rFonts w:ascii="Times New Roman" w:eastAsia="Times New Roman" w:hAnsi="Times New Roman" w:cs="Times New Roman"/>
          <w:sz w:val="24"/>
          <w:szCs w:val="24"/>
          <w:lang w:eastAsia="en-US"/>
        </w:rPr>
        <w:t xml:space="preserve"> There are no known human activities fostering microplastic pollution in the study area.</w:t>
      </w:r>
    </w:p>
    <w:p w14:paraId="2E61889C" w14:textId="77777777" w:rsidR="00371875" w:rsidRPr="00371875" w:rsidRDefault="00371875" w:rsidP="00371875">
      <w:pPr>
        <w:spacing w:before="100" w:beforeAutospacing="1" w:after="100" w:afterAutospacing="1"/>
        <w:outlineLvl w:val="2"/>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t>Table 5: Identified Anthropogenic Activities Along the River</w:t>
      </w:r>
    </w:p>
    <w:tbl>
      <w:tblPr>
        <w:tblStyle w:val="PlainTable2"/>
        <w:tblW w:w="8944" w:type="dxa"/>
        <w:tblLook w:val="06A0" w:firstRow="1" w:lastRow="0" w:firstColumn="1" w:lastColumn="0" w:noHBand="1" w:noVBand="1"/>
      </w:tblPr>
      <w:tblGrid>
        <w:gridCol w:w="5509"/>
        <w:gridCol w:w="3435"/>
      </w:tblGrid>
      <w:tr w:rsidR="00371875" w:rsidRPr="00371875" w14:paraId="1A7555F0" w14:textId="77777777" w:rsidTr="0050601A">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6EC296D2"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Activity Observed</w:t>
            </w:r>
          </w:p>
        </w:tc>
        <w:tc>
          <w:tcPr>
            <w:tcW w:w="0" w:type="auto"/>
            <w:hideMark/>
          </w:tcPr>
          <w:p w14:paraId="3A20E170"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Frequency (%)</w:t>
            </w:r>
          </w:p>
        </w:tc>
      </w:tr>
      <w:tr w:rsidR="00371875" w:rsidRPr="00371875" w14:paraId="77367748" w14:textId="77777777" w:rsidTr="0050601A">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226EA045" w14:textId="77777777" w:rsidR="00371875" w:rsidRPr="00371875" w:rsidRDefault="00371875" w:rsidP="0050601A">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Open dumping of plastics</w:t>
            </w:r>
          </w:p>
        </w:tc>
        <w:tc>
          <w:tcPr>
            <w:tcW w:w="0" w:type="auto"/>
            <w:hideMark/>
          </w:tcPr>
          <w:p w14:paraId="090746DE" w14:textId="77777777" w:rsidR="00371875" w:rsidRPr="00371875" w:rsidRDefault="00371875" w:rsidP="005060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38.4</w:t>
            </w:r>
          </w:p>
        </w:tc>
      </w:tr>
      <w:tr w:rsidR="00371875" w:rsidRPr="00371875" w14:paraId="49ACD89B" w14:textId="77777777" w:rsidTr="005060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F8AEDAD" w14:textId="77777777" w:rsidR="00371875" w:rsidRPr="00371875" w:rsidRDefault="00371875" w:rsidP="0050601A">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Washing activities</w:t>
            </w:r>
          </w:p>
        </w:tc>
        <w:tc>
          <w:tcPr>
            <w:tcW w:w="0" w:type="auto"/>
            <w:hideMark/>
          </w:tcPr>
          <w:p w14:paraId="0FCD150A" w14:textId="77777777" w:rsidR="00371875" w:rsidRPr="00371875" w:rsidRDefault="00371875" w:rsidP="005060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21.7</w:t>
            </w:r>
          </w:p>
        </w:tc>
      </w:tr>
      <w:tr w:rsidR="00371875" w:rsidRPr="00371875" w14:paraId="353A0C50" w14:textId="77777777" w:rsidTr="005060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06FE8017" w14:textId="77777777" w:rsidR="00371875" w:rsidRPr="00371875" w:rsidRDefault="00371875" w:rsidP="0050601A">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Fishing gear usage</w:t>
            </w:r>
          </w:p>
        </w:tc>
        <w:tc>
          <w:tcPr>
            <w:tcW w:w="0" w:type="auto"/>
            <w:hideMark/>
          </w:tcPr>
          <w:p w14:paraId="6C84944C" w14:textId="77777777" w:rsidR="00371875" w:rsidRPr="00371875" w:rsidRDefault="00371875" w:rsidP="005060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18.9</w:t>
            </w:r>
          </w:p>
        </w:tc>
      </w:tr>
      <w:tr w:rsidR="00371875" w:rsidRPr="00371875" w14:paraId="25738840" w14:textId="77777777" w:rsidTr="0050601A">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0EF737B3" w14:textId="77777777" w:rsidR="00371875" w:rsidRPr="00371875" w:rsidRDefault="00371875" w:rsidP="0050601A">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Sewage discharge</w:t>
            </w:r>
          </w:p>
        </w:tc>
        <w:tc>
          <w:tcPr>
            <w:tcW w:w="0" w:type="auto"/>
            <w:hideMark/>
          </w:tcPr>
          <w:p w14:paraId="3D209150" w14:textId="77777777" w:rsidR="00371875" w:rsidRPr="00371875" w:rsidRDefault="00371875" w:rsidP="005060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12.6</w:t>
            </w:r>
          </w:p>
        </w:tc>
      </w:tr>
      <w:tr w:rsidR="00371875" w:rsidRPr="00371875" w14:paraId="1B2A72E0" w14:textId="77777777" w:rsidTr="0050601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5C3EBF16" w14:textId="77777777" w:rsidR="00371875" w:rsidRPr="00371875" w:rsidRDefault="00371875" w:rsidP="0050601A">
            <w:pP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Commercial activities</w:t>
            </w:r>
          </w:p>
        </w:tc>
        <w:tc>
          <w:tcPr>
            <w:tcW w:w="0" w:type="auto"/>
            <w:hideMark/>
          </w:tcPr>
          <w:p w14:paraId="6E35A5E7" w14:textId="77777777" w:rsidR="00371875" w:rsidRPr="00371875" w:rsidRDefault="00371875" w:rsidP="0050601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8.4</w:t>
            </w:r>
          </w:p>
        </w:tc>
      </w:tr>
    </w:tbl>
    <w:p w14:paraId="013D47E4" w14:textId="5C133659" w:rsidR="000B77C8" w:rsidRPr="00F43C69" w:rsidRDefault="000B77C8">
      <w:pPr>
        <w:rPr>
          <w:rFonts w:ascii="Times New Roman" w:eastAsia="Times New Roman" w:hAnsi="Times New Roman" w:cs="Times New Roman"/>
          <w:b/>
          <w:bCs/>
          <w:sz w:val="24"/>
          <w:szCs w:val="24"/>
          <w:lang w:eastAsia="en-US"/>
        </w:rPr>
      </w:pPr>
    </w:p>
    <w:p w14:paraId="02D448BF" w14:textId="77777777" w:rsidR="0050601A" w:rsidRPr="0050601A" w:rsidRDefault="0050601A" w:rsidP="0050601A">
      <w:pPr>
        <w:spacing w:before="100" w:beforeAutospacing="1" w:after="100" w:afterAutospacing="1" w:line="480" w:lineRule="auto"/>
        <w:jc w:val="both"/>
        <w:outlineLvl w:val="1"/>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 xml:space="preserve">The results presented in Table 5 reveal the presence of several anthropogenic activities along the River Niger at Lokoja that are capable of introducing microplastics into the aquatic environment. Open dumping of plastics was the most frequently observed activity (38.4%), indicating poor waste management practices and direct disposal of plastic materials along the river banks. Washing activities accounted for 21.7%, suggesting the release of synthetic </w:t>
      </w:r>
      <w:proofErr w:type="spellStart"/>
      <w:r w:rsidRPr="0050601A">
        <w:rPr>
          <w:rFonts w:ascii="Times New Roman" w:eastAsia="Times New Roman" w:hAnsi="Times New Roman" w:cs="Times New Roman"/>
          <w:sz w:val="24"/>
          <w:szCs w:val="24"/>
          <w:lang w:eastAsia="en-US"/>
        </w:rPr>
        <w:t>fibres</w:t>
      </w:r>
      <w:proofErr w:type="spellEnd"/>
      <w:r w:rsidRPr="0050601A">
        <w:rPr>
          <w:rFonts w:ascii="Times New Roman" w:eastAsia="Times New Roman" w:hAnsi="Times New Roman" w:cs="Times New Roman"/>
          <w:sz w:val="24"/>
          <w:szCs w:val="24"/>
          <w:lang w:eastAsia="en-US"/>
        </w:rPr>
        <w:t xml:space="preserve"> from clothing into the river, while fishing gear usage (18.9%) contributes plastic fragments through the wear and loss of nets, lines, and other equipment.</w:t>
      </w:r>
    </w:p>
    <w:p w14:paraId="428520BD" w14:textId="77777777" w:rsidR="0050601A" w:rsidRPr="0050601A" w:rsidRDefault="0050601A" w:rsidP="0050601A">
      <w:pPr>
        <w:spacing w:before="100" w:beforeAutospacing="1" w:after="100" w:afterAutospacing="1" w:line="480" w:lineRule="auto"/>
        <w:jc w:val="both"/>
        <w:outlineLvl w:val="1"/>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Additionally, sewage discharge (12.6%) and commercial activities (8.4%) further increase the input of plastic debris and microplastics into the river system. The presence and frequency of these activities clearly demonstrate that human actions play a significant role in fostering microplastic pollution within the study area.</w:t>
      </w:r>
    </w:p>
    <w:p w14:paraId="34FED1FA" w14:textId="48935668" w:rsidR="0050601A" w:rsidRPr="00391EB9" w:rsidRDefault="0050601A" w:rsidP="0050601A">
      <w:pPr>
        <w:spacing w:before="100" w:beforeAutospacing="1" w:after="100" w:afterAutospacing="1" w:line="480" w:lineRule="auto"/>
        <w:jc w:val="both"/>
        <w:outlineLvl w:val="1"/>
        <w:rPr>
          <w:rFonts w:ascii="Times New Roman" w:eastAsia="Times New Roman" w:hAnsi="Times New Roman" w:cs="Times New Roman"/>
          <w:sz w:val="24"/>
          <w:szCs w:val="24"/>
          <w:lang w:eastAsia="en-US"/>
        </w:rPr>
      </w:pPr>
      <w:r w:rsidRPr="0050601A">
        <w:rPr>
          <w:rFonts w:ascii="Times New Roman" w:eastAsia="Times New Roman" w:hAnsi="Times New Roman" w:cs="Times New Roman"/>
          <w:sz w:val="24"/>
          <w:szCs w:val="24"/>
          <w:lang w:eastAsia="en-US"/>
        </w:rPr>
        <w:t xml:space="preserve">Based on these findings, the null hypothesis (H₀₅) is rejected, as there is clear evidence that anthropogenic </w:t>
      </w:r>
      <w:r w:rsidRPr="00391EB9">
        <w:rPr>
          <w:rFonts w:ascii="Times New Roman" w:eastAsia="Times New Roman" w:hAnsi="Times New Roman" w:cs="Times New Roman"/>
          <w:sz w:val="24"/>
          <w:szCs w:val="24"/>
          <w:lang w:eastAsia="en-US"/>
        </w:rPr>
        <w:t>activities contribute substantially to microplastic contamination in the River</w:t>
      </w:r>
      <w:r w:rsidR="00391EB9" w:rsidRPr="00391EB9">
        <w:rPr>
          <w:rFonts w:ascii="Times New Roman" w:eastAsia="Times New Roman" w:hAnsi="Times New Roman" w:cs="Times New Roman"/>
          <w:sz w:val="24"/>
          <w:szCs w:val="24"/>
          <w:lang w:eastAsia="en-US"/>
        </w:rPr>
        <w:t xml:space="preserve"> </w:t>
      </w:r>
      <w:r w:rsidR="00391EB9" w:rsidRPr="00391EB9">
        <w:rPr>
          <w:rFonts w:ascii="Times New Roman" w:hAnsi="Times New Roman" w:cs="Times New Roman"/>
          <w:sz w:val="24"/>
          <w:szCs w:val="24"/>
        </w:rPr>
        <w:t>Niger at Lokoja.</w:t>
      </w:r>
    </w:p>
    <w:p w14:paraId="459CBDDB" w14:textId="1C56476D" w:rsidR="00371875" w:rsidRPr="00371875" w:rsidRDefault="00371875" w:rsidP="00371875">
      <w:pPr>
        <w:spacing w:before="100" w:beforeAutospacing="1" w:after="100" w:afterAutospacing="1"/>
        <w:outlineLvl w:val="1"/>
        <w:rPr>
          <w:rFonts w:ascii="Times New Roman" w:eastAsia="Times New Roman" w:hAnsi="Times New Roman" w:cs="Times New Roman"/>
          <w:b/>
          <w:bCs/>
          <w:sz w:val="24"/>
          <w:szCs w:val="24"/>
          <w:lang w:eastAsia="en-US"/>
        </w:rPr>
      </w:pPr>
      <w:r w:rsidRPr="00371875">
        <w:rPr>
          <w:rFonts w:ascii="Times New Roman" w:eastAsia="Times New Roman" w:hAnsi="Times New Roman" w:cs="Times New Roman"/>
          <w:b/>
          <w:bCs/>
          <w:sz w:val="24"/>
          <w:szCs w:val="24"/>
          <w:lang w:eastAsia="en-US"/>
        </w:rPr>
        <w:lastRenderedPageBreak/>
        <w:t>Hypothesis VI</w:t>
      </w:r>
    </w:p>
    <w:p w14:paraId="292C5440" w14:textId="7777777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b/>
          <w:bCs/>
          <w:sz w:val="24"/>
          <w:szCs w:val="24"/>
          <w:lang w:eastAsia="en-US"/>
        </w:rPr>
        <w:t>H₀₆:</w:t>
      </w:r>
      <w:r w:rsidRPr="00371875">
        <w:rPr>
          <w:rFonts w:ascii="Times New Roman" w:eastAsia="Times New Roman" w:hAnsi="Times New Roman" w:cs="Times New Roman"/>
          <w:sz w:val="24"/>
          <w:szCs w:val="24"/>
          <w:lang w:eastAsia="en-US"/>
        </w:rPr>
        <w:t xml:space="preserve"> There are no effects of physicochemical parameters on microplastic occurrence.</w:t>
      </w:r>
    </w:p>
    <w:p w14:paraId="7D7F4B2D" w14:textId="07A94B69" w:rsidR="00371875" w:rsidRPr="00371875" w:rsidRDefault="00371875" w:rsidP="00391EB9">
      <w:pPr>
        <w:spacing w:before="100" w:beforeAutospacing="1" w:after="100" w:afterAutospacing="1" w:line="480" w:lineRule="auto"/>
        <w:jc w:val="both"/>
        <w:outlineLvl w:val="2"/>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Table 6: Multiple Regression Analysis Between Physicochemical Parameters and Microplastic Abundance</w:t>
      </w:r>
      <w:r w:rsidR="00E56262">
        <w:rPr>
          <w:rFonts w:ascii="Times New Roman" w:eastAsia="Times New Roman" w:hAnsi="Times New Roman" w:cs="Times New Roman"/>
          <w:sz w:val="24"/>
          <w:szCs w:val="24"/>
          <w:lang w:eastAsia="en-US"/>
        </w:rPr>
        <w:t>.</w:t>
      </w:r>
    </w:p>
    <w:tbl>
      <w:tblPr>
        <w:tblStyle w:val="PlainTable2"/>
        <w:tblW w:w="8656" w:type="dxa"/>
        <w:tblLook w:val="06A0" w:firstRow="1" w:lastRow="0" w:firstColumn="1" w:lastColumn="0" w:noHBand="1" w:noVBand="1"/>
      </w:tblPr>
      <w:tblGrid>
        <w:gridCol w:w="3280"/>
        <w:gridCol w:w="2391"/>
        <w:gridCol w:w="1450"/>
        <w:gridCol w:w="1535"/>
      </w:tblGrid>
      <w:tr w:rsidR="00371875" w:rsidRPr="00371875" w14:paraId="6217DA55" w14:textId="77777777" w:rsidTr="00391EB9">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773F131" w14:textId="77777777" w:rsidR="00371875" w:rsidRPr="00371875" w:rsidRDefault="00371875" w:rsidP="00371875">
            <w:pPr>
              <w:jc w:val="center"/>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Parameter</w:t>
            </w:r>
          </w:p>
        </w:tc>
        <w:tc>
          <w:tcPr>
            <w:tcW w:w="0" w:type="auto"/>
            <w:hideMark/>
          </w:tcPr>
          <w:p w14:paraId="55F89162"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β Coefficient</w:t>
            </w:r>
          </w:p>
        </w:tc>
        <w:tc>
          <w:tcPr>
            <w:tcW w:w="0" w:type="auto"/>
            <w:hideMark/>
          </w:tcPr>
          <w:p w14:paraId="3BEE395D"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t-value</w:t>
            </w:r>
          </w:p>
        </w:tc>
        <w:tc>
          <w:tcPr>
            <w:tcW w:w="0" w:type="auto"/>
            <w:hideMark/>
          </w:tcPr>
          <w:p w14:paraId="3D1B79AE" w14:textId="77777777" w:rsidR="00371875" w:rsidRPr="00371875" w:rsidRDefault="00371875" w:rsidP="0037187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p-value</w:t>
            </w:r>
          </w:p>
        </w:tc>
      </w:tr>
      <w:tr w:rsidR="00371875" w:rsidRPr="00371875" w14:paraId="082ADBAF"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481FCBB7"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Water Temperature</w:t>
            </w:r>
          </w:p>
        </w:tc>
        <w:tc>
          <w:tcPr>
            <w:tcW w:w="0" w:type="auto"/>
            <w:hideMark/>
          </w:tcPr>
          <w:p w14:paraId="06D7075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0.421</w:t>
            </w:r>
          </w:p>
        </w:tc>
        <w:tc>
          <w:tcPr>
            <w:tcW w:w="0" w:type="auto"/>
            <w:hideMark/>
          </w:tcPr>
          <w:p w14:paraId="024188F9"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3.28</w:t>
            </w:r>
          </w:p>
        </w:tc>
        <w:tc>
          <w:tcPr>
            <w:tcW w:w="0" w:type="auto"/>
            <w:hideMark/>
          </w:tcPr>
          <w:p w14:paraId="27306F4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0.003*</w:t>
            </w:r>
          </w:p>
        </w:tc>
      </w:tr>
      <w:tr w:rsidR="00371875" w:rsidRPr="00371875" w14:paraId="73F2CFD1" w14:textId="77777777" w:rsidTr="00391EB9">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6F3A729B" w14:textId="1EE14319" w:rsidR="00371875" w:rsidRPr="00371875" w:rsidRDefault="00391EB9" w:rsidP="00371875">
            <w:pPr>
              <w:rPr>
                <w:rFonts w:ascii="Times New Roman" w:eastAsia="Times New Roman" w:hAnsi="Times New Roman" w:cs="Times New Roman"/>
                <w:b w:val="0"/>
                <w:bCs w:val="0"/>
                <w:sz w:val="24"/>
                <w:szCs w:val="24"/>
                <w:lang w:eastAsia="en-US"/>
              </w:rPr>
            </w:pPr>
            <w:r w:rsidRPr="00391EB9">
              <w:rPr>
                <w:rFonts w:ascii="Times New Roman" w:eastAsia="Times New Roman" w:hAnsi="Times New Roman" w:cs="Times New Roman"/>
                <w:b w:val="0"/>
                <w:bCs w:val="0"/>
                <w:sz w:val="24"/>
                <w:szCs w:val="24"/>
                <w:lang w:eastAsia="en-US"/>
              </w:rPr>
              <w:t>Ph</w:t>
            </w:r>
          </w:p>
        </w:tc>
        <w:tc>
          <w:tcPr>
            <w:tcW w:w="0" w:type="auto"/>
            <w:hideMark/>
          </w:tcPr>
          <w:p w14:paraId="304BA0B1"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−0.198</w:t>
            </w:r>
          </w:p>
        </w:tc>
        <w:tc>
          <w:tcPr>
            <w:tcW w:w="0" w:type="auto"/>
            <w:hideMark/>
          </w:tcPr>
          <w:p w14:paraId="60606DD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−1.67</w:t>
            </w:r>
          </w:p>
        </w:tc>
        <w:tc>
          <w:tcPr>
            <w:tcW w:w="0" w:type="auto"/>
            <w:hideMark/>
          </w:tcPr>
          <w:p w14:paraId="6E63564E"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0.041*</w:t>
            </w:r>
          </w:p>
        </w:tc>
      </w:tr>
      <w:tr w:rsidR="00371875" w:rsidRPr="00371875" w14:paraId="5E6222B1"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451B6AE7"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EC</w:t>
            </w:r>
          </w:p>
        </w:tc>
        <w:tc>
          <w:tcPr>
            <w:tcW w:w="0" w:type="auto"/>
            <w:hideMark/>
          </w:tcPr>
          <w:p w14:paraId="47E10200"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0.376</w:t>
            </w:r>
          </w:p>
        </w:tc>
        <w:tc>
          <w:tcPr>
            <w:tcW w:w="0" w:type="auto"/>
            <w:hideMark/>
          </w:tcPr>
          <w:p w14:paraId="1E168AE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2.89</w:t>
            </w:r>
          </w:p>
        </w:tc>
        <w:tc>
          <w:tcPr>
            <w:tcW w:w="0" w:type="auto"/>
            <w:hideMark/>
          </w:tcPr>
          <w:p w14:paraId="61DC602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0.006*</w:t>
            </w:r>
          </w:p>
        </w:tc>
      </w:tr>
      <w:tr w:rsidR="00371875" w:rsidRPr="00371875" w14:paraId="3FA04532"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75D9CEAB"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TDS</w:t>
            </w:r>
          </w:p>
        </w:tc>
        <w:tc>
          <w:tcPr>
            <w:tcW w:w="0" w:type="auto"/>
            <w:hideMark/>
          </w:tcPr>
          <w:p w14:paraId="3FDA6551"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0.344</w:t>
            </w:r>
          </w:p>
        </w:tc>
        <w:tc>
          <w:tcPr>
            <w:tcW w:w="0" w:type="auto"/>
            <w:hideMark/>
          </w:tcPr>
          <w:p w14:paraId="386D9D2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2.57</w:t>
            </w:r>
          </w:p>
        </w:tc>
        <w:tc>
          <w:tcPr>
            <w:tcW w:w="0" w:type="auto"/>
            <w:hideMark/>
          </w:tcPr>
          <w:p w14:paraId="6033D5DC"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0.012*</w:t>
            </w:r>
          </w:p>
        </w:tc>
      </w:tr>
      <w:tr w:rsidR="00371875" w:rsidRPr="00371875" w14:paraId="0332EAD1" w14:textId="77777777" w:rsidTr="00391EB9">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028B54B4"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DO</w:t>
            </w:r>
          </w:p>
        </w:tc>
        <w:tc>
          <w:tcPr>
            <w:tcW w:w="0" w:type="auto"/>
            <w:hideMark/>
          </w:tcPr>
          <w:p w14:paraId="363D201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−0.462</w:t>
            </w:r>
          </w:p>
        </w:tc>
        <w:tc>
          <w:tcPr>
            <w:tcW w:w="0" w:type="auto"/>
            <w:hideMark/>
          </w:tcPr>
          <w:p w14:paraId="6204A34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−3.74</w:t>
            </w:r>
          </w:p>
        </w:tc>
        <w:tc>
          <w:tcPr>
            <w:tcW w:w="0" w:type="auto"/>
            <w:hideMark/>
          </w:tcPr>
          <w:p w14:paraId="66F940AC"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0.001*</w:t>
            </w:r>
          </w:p>
        </w:tc>
      </w:tr>
      <w:tr w:rsidR="00371875" w:rsidRPr="00371875" w14:paraId="11FA292F"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3670FB8"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BOD</w:t>
            </w:r>
          </w:p>
        </w:tc>
        <w:tc>
          <w:tcPr>
            <w:tcW w:w="0" w:type="auto"/>
            <w:hideMark/>
          </w:tcPr>
          <w:p w14:paraId="33D2DDB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0.511</w:t>
            </w:r>
          </w:p>
        </w:tc>
        <w:tc>
          <w:tcPr>
            <w:tcW w:w="0" w:type="auto"/>
            <w:hideMark/>
          </w:tcPr>
          <w:p w14:paraId="3B91689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4.12</w:t>
            </w:r>
          </w:p>
        </w:tc>
        <w:tc>
          <w:tcPr>
            <w:tcW w:w="0" w:type="auto"/>
            <w:hideMark/>
          </w:tcPr>
          <w:p w14:paraId="5467176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0.000*</w:t>
            </w:r>
          </w:p>
        </w:tc>
      </w:tr>
      <w:tr w:rsidR="00371875" w:rsidRPr="00371875" w14:paraId="71992221" w14:textId="77777777" w:rsidTr="00391EB9">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450AA439"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COD</w:t>
            </w:r>
          </w:p>
        </w:tc>
        <w:tc>
          <w:tcPr>
            <w:tcW w:w="0" w:type="auto"/>
            <w:hideMark/>
          </w:tcPr>
          <w:p w14:paraId="444B08B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0.483</w:t>
            </w:r>
          </w:p>
        </w:tc>
        <w:tc>
          <w:tcPr>
            <w:tcW w:w="0" w:type="auto"/>
            <w:hideMark/>
          </w:tcPr>
          <w:p w14:paraId="0D9AC89A"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3.91</w:t>
            </w:r>
          </w:p>
        </w:tc>
        <w:tc>
          <w:tcPr>
            <w:tcW w:w="0" w:type="auto"/>
            <w:hideMark/>
          </w:tcPr>
          <w:p w14:paraId="060E672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0.001*</w:t>
            </w:r>
          </w:p>
        </w:tc>
      </w:tr>
      <w:tr w:rsidR="00371875" w:rsidRPr="00371875" w14:paraId="11416902"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ABF44B3"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Nitrate</w:t>
            </w:r>
          </w:p>
        </w:tc>
        <w:tc>
          <w:tcPr>
            <w:tcW w:w="0" w:type="auto"/>
            <w:hideMark/>
          </w:tcPr>
          <w:p w14:paraId="36BB527B"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0.291</w:t>
            </w:r>
          </w:p>
        </w:tc>
        <w:tc>
          <w:tcPr>
            <w:tcW w:w="0" w:type="auto"/>
            <w:hideMark/>
          </w:tcPr>
          <w:p w14:paraId="4B580F27"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2.14</w:t>
            </w:r>
          </w:p>
        </w:tc>
        <w:tc>
          <w:tcPr>
            <w:tcW w:w="0" w:type="auto"/>
            <w:hideMark/>
          </w:tcPr>
          <w:p w14:paraId="0C4A162D"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0.021*</w:t>
            </w:r>
          </w:p>
        </w:tc>
      </w:tr>
      <w:tr w:rsidR="00371875" w:rsidRPr="00371875" w14:paraId="3D1FA6DC" w14:textId="77777777" w:rsidTr="00391EB9">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5662F19"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Sulphate</w:t>
            </w:r>
          </w:p>
        </w:tc>
        <w:tc>
          <w:tcPr>
            <w:tcW w:w="0" w:type="auto"/>
            <w:hideMark/>
          </w:tcPr>
          <w:p w14:paraId="0C297C7F"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0.264</w:t>
            </w:r>
          </w:p>
        </w:tc>
        <w:tc>
          <w:tcPr>
            <w:tcW w:w="0" w:type="auto"/>
            <w:hideMark/>
          </w:tcPr>
          <w:p w14:paraId="2E99C04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2.02</w:t>
            </w:r>
          </w:p>
        </w:tc>
        <w:tc>
          <w:tcPr>
            <w:tcW w:w="0" w:type="auto"/>
            <w:hideMark/>
          </w:tcPr>
          <w:p w14:paraId="5B71F061"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0.028*</w:t>
            </w:r>
          </w:p>
        </w:tc>
      </w:tr>
      <w:tr w:rsidR="00371875" w:rsidRPr="00371875" w14:paraId="5C1C25FD" w14:textId="77777777" w:rsidTr="00391EB9">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25115CD" w14:textId="77777777" w:rsidR="00371875" w:rsidRPr="00371875" w:rsidRDefault="00371875" w:rsidP="00371875">
            <w:pPr>
              <w:rPr>
                <w:rFonts w:ascii="Times New Roman" w:eastAsia="Times New Roman" w:hAnsi="Times New Roman" w:cs="Times New Roman"/>
                <w:b w:val="0"/>
                <w:bCs w:val="0"/>
                <w:sz w:val="24"/>
                <w:szCs w:val="24"/>
                <w:lang w:eastAsia="en-US"/>
              </w:rPr>
            </w:pPr>
            <w:r w:rsidRPr="00371875">
              <w:rPr>
                <w:rFonts w:ascii="Times New Roman" w:eastAsia="Times New Roman" w:hAnsi="Times New Roman" w:cs="Times New Roman"/>
                <w:b w:val="0"/>
                <w:bCs w:val="0"/>
                <w:sz w:val="24"/>
                <w:szCs w:val="24"/>
                <w:lang w:eastAsia="en-US"/>
              </w:rPr>
              <w:t>Chloride</w:t>
            </w:r>
          </w:p>
        </w:tc>
        <w:tc>
          <w:tcPr>
            <w:tcW w:w="0" w:type="auto"/>
            <w:hideMark/>
          </w:tcPr>
          <w:p w14:paraId="7BBDFEB5"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0.309</w:t>
            </w:r>
          </w:p>
        </w:tc>
        <w:tc>
          <w:tcPr>
            <w:tcW w:w="0" w:type="auto"/>
            <w:hideMark/>
          </w:tcPr>
          <w:p w14:paraId="42E17086"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2.36</w:t>
            </w:r>
          </w:p>
        </w:tc>
        <w:tc>
          <w:tcPr>
            <w:tcW w:w="0" w:type="auto"/>
            <w:hideMark/>
          </w:tcPr>
          <w:p w14:paraId="5DA69E84" w14:textId="77777777" w:rsidR="00371875" w:rsidRPr="00371875" w:rsidRDefault="00371875" w:rsidP="003718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0.017*</w:t>
            </w:r>
          </w:p>
        </w:tc>
      </w:tr>
    </w:tbl>
    <w:p w14:paraId="1AF73B7B" w14:textId="77777777" w:rsidR="00AF1F61" w:rsidRDefault="00AF1F61" w:rsidP="00371875">
      <w:pPr>
        <w:spacing w:before="100" w:beforeAutospacing="1" w:after="100" w:afterAutospacing="1"/>
        <w:rPr>
          <w:rFonts w:ascii="Times New Roman" w:eastAsia="Times New Roman" w:hAnsi="Times New Roman" w:cs="Times New Roman"/>
          <w:sz w:val="24"/>
          <w:szCs w:val="24"/>
          <w:lang w:eastAsia="en-US"/>
        </w:rPr>
      </w:pPr>
    </w:p>
    <w:p w14:paraId="3EEA344D" w14:textId="7D074537" w:rsidR="00371875" w:rsidRPr="00371875" w:rsidRDefault="00371875" w:rsidP="00371875">
      <w:pPr>
        <w:spacing w:before="100" w:beforeAutospacing="1" w:after="100" w:afterAutospacing="1"/>
        <w:rPr>
          <w:rFonts w:ascii="Times New Roman" w:eastAsia="Times New Roman" w:hAnsi="Times New Roman" w:cs="Times New Roman"/>
          <w:sz w:val="24"/>
          <w:szCs w:val="24"/>
          <w:lang w:eastAsia="en-US"/>
        </w:rPr>
      </w:pPr>
      <w:r w:rsidRPr="00371875">
        <w:rPr>
          <w:rFonts w:ascii="Times New Roman" w:eastAsia="Times New Roman" w:hAnsi="Times New Roman" w:cs="Times New Roman"/>
          <w:sz w:val="24"/>
          <w:szCs w:val="24"/>
          <w:lang w:eastAsia="en-US"/>
        </w:rPr>
        <w:t>*p &lt; 0.05</w:t>
      </w:r>
    </w:p>
    <w:p w14:paraId="0B520BEA" w14:textId="77777777" w:rsidR="005315BB" w:rsidRPr="005315BB" w:rsidRDefault="005315BB" w:rsidP="005315BB">
      <w:pPr>
        <w:spacing w:line="480" w:lineRule="auto"/>
        <w:jc w:val="both"/>
        <w:rPr>
          <w:rFonts w:ascii="Times New Roman" w:hAnsi="Times New Roman" w:cs="Times New Roman"/>
          <w:sz w:val="24"/>
          <w:szCs w:val="24"/>
        </w:rPr>
      </w:pPr>
      <w:r w:rsidRPr="005315BB">
        <w:rPr>
          <w:rFonts w:ascii="Times New Roman" w:hAnsi="Times New Roman" w:cs="Times New Roman"/>
          <w:sz w:val="24"/>
          <w:szCs w:val="24"/>
        </w:rPr>
        <w:t>The multiple regression results presented in Table 6 show that several physicochemical parameters have statistically significant effects on microplastic occurrence in the River Niger at Lokoja (p &lt; 0.05). Water temperature exhibited a strong positive relationship with microplastic abundance (β = 0.421), indicating that higher temperatures may enhance microplastic mobility and persistence within the aquatic environment.</w:t>
      </w:r>
    </w:p>
    <w:p w14:paraId="407996EC" w14:textId="77777777" w:rsidR="005315BB" w:rsidRPr="005315BB" w:rsidRDefault="005315BB" w:rsidP="005315BB">
      <w:pPr>
        <w:spacing w:line="480" w:lineRule="auto"/>
        <w:jc w:val="both"/>
        <w:rPr>
          <w:rFonts w:ascii="Times New Roman" w:hAnsi="Times New Roman" w:cs="Times New Roman"/>
          <w:sz w:val="24"/>
          <w:szCs w:val="24"/>
        </w:rPr>
      </w:pPr>
      <w:r w:rsidRPr="005315BB">
        <w:rPr>
          <w:rFonts w:ascii="Times New Roman" w:hAnsi="Times New Roman" w:cs="Times New Roman"/>
          <w:sz w:val="24"/>
          <w:szCs w:val="24"/>
        </w:rPr>
        <w:t>pH showed a significant negative association (β = −0.198), suggesting that changes in acidity or alkalinity influence the stability and behavior of microplastic particles. Electrical conductivity (EC) and total dissolved solids (TDS) both demonstrated significant positive relationships with microplastic abundance, implying that higher ionic content and dissolved materials in the water are associated with increased microplastic presence.</w:t>
      </w:r>
    </w:p>
    <w:p w14:paraId="139FAC6F" w14:textId="77777777" w:rsidR="005315BB" w:rsidRPr="005315BB" w:rsidRDefault="005315BB" w:rsidP="005315BB">
      <w:pPr>
        <w:spacing w:line="480" w:lineRule="auto"/>
        <w:jc w:val="both"/>
        <w:rPr>
          <w:rFonts w:ascii="Times New Roman" w:hAnsi="Times New Roman" w:cs="Times New Roman"/>
          <w:sz w:val="24"/>
          <w:szCs w:val="24"/>
        </w:rPr>
      </w:pPr>
    </w:p>
    <w:p w14:paraId="6FA6E9D9" w14:textId="77777777" w:rsidR="005315BB" w:rsidRPr="005315BB" w:rsidRDefault="005315BB" w:rsidP="005315BB">
      <w:pPr>
        <w:spacing w:line="480" w:lineRule="auto"/>
        <w:jc w:val="both"/>
        <w:rPr>
          <w:rFonts w:ascii="Times New Roman" w:hAnsi="Times New Roman" w:cs="Times New Roman"/>
          <w:sz w:val="24"/>
          <w:szCs w:val="24"/>
        </w:rPr>
      </w:pPr>
      <w:r w:rsidRPr="005315BB">
        <w:rPr>
          <w:rFonts w:ascii="Times New Roman" w:hAnsi="Times New Roman" w:cs="Times New Roman"/>
          <w:sz w:val="24"/>
          <w:szCs w:val="24"/>
        </w:rPr>
        <w:t>Dissolved oxygen (DO) displayed a significant negative relationship (β = −0.462), indicating that elevated microplastic concentrations are linked to poorer water quality conditions. In contrast, biochemical oxygen demand (BOD) and chemical oxygen demand (COD) showed strong positive effects, highlighting the close association between microplastic pollution and organic as well as chemical contamination.</w:t>
      </w:r>
    </w:p>
    <w:p w14:paraId="77F166CE" w14:textId="77777777" w:rsidR="005315BB" w:rsidRPr="005315BB" w:rsidRDefault="005315BB" w:rsidP="005315BB">
      <w:pPr>
        <w:spacing w:line="480" w:lineRule="auto"/>
        <w:jc w:val="both"/>
        <w:rPr>
          <w:rFonts w:ascii="Times New Roman" w:hAnsi="Times New Roman" w:cs="Times New Roman"/>
          <w:sz w:val="24"/>
          <w:szCs w:val="24"/>
        </w:rPr>
      </w:pPr>
      <w:r w:rsidRPr="005315BB">
        <w:rPr>
          <w:rFonts w:ascii="Times New Roman" w:hAnsi="Times New Roman" w:cs="Times New Roman"/>
          <w:sz w:val="24"/>
          <w:szCs w:val="24"/>
        </w:rPr>
        <w:t>Furthermore, nutrients such as nitrate, sulphate, and chloride exhibited significant positive relationships with microplastic abundance, suggesting that areas with higher nutrient loading—often influenced by anthropogenic inputs—also experience increased microplastic pollution.</w:t>
      </w:r>
    </w:p>
    <w:p w14:paraId="53ACE10D" w14:textId="7C066957" w:rsidR="00785A08" w:rsidRPr="00F43C69" w:rsidRDefault="005315BB" w:rsidP="005315BB">
      <w:pPr>
        <w:spacing w:line="480" w:lineRule="auto"/>
        <w:jc w:val="both"/>
        <w:rPr>
          <w:rFonts w:ascii="Times New Roman" w:hAnsi="Times New Roman" w:cs="Times New Roman"/>
          <w:sz w:val="24"/>
          <w:szCs w:val="24"/>
        </w:rPr>
      </w:pPr>
      <w:r w:rsidRPr="005315BB">
        <w:rPr>
          <w:rFonts w:ascii="Times New Roman" w:hAnsi="Times New Roman" w:cs="Times New Roman"/>
          <w:sz w:val="24"/>
          <w:szCs w:val="24"/>
        </w:rPr>
        <w:t>Overall, these results clearly demonstrate that physicochemical parameters significantly influence the occurrence and distribution of microplastics in the River Niger at Lokoja. Therefore, the null hypothesis (H₀₆) is rejected, confirming that water quality conditions play a crucial role in microplastic behavior within the river system.</w:t>
      </w:r>
    </w:p>
    <w:sectPr w:rsidR="00785A08" w:rsidRPr="00F43C69" w:rsidSect="000B77C8">
      <w:pgSz w:w="11906" w:h="16838"/>
      <w:pgMar w:top="1440" w:right="128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82B0AAA"/>
    <w:rsid w:val="000B77C8"/>
    <w:rsid w:val="001358B6"/>
    <w:rsid w:val="00155FE9"/>
    <w:rsid w:val="002169C3"/>
    <w:rsid w:val="00371875"/>
    <w:rsid w:val="00391EB9"/>
    <w:rsid w:val="003C094D"/>
    <w:rsid w:val="003D643B"/>
    <w:rsid w:val="00440E56"/>
    <w:rsid w:val="004D2D8D"/>
    <w:rsid w:val="0050601A"/>
    <w:rsid w:val="005315BB"/>
    <w:rsid w:val="006845D9"/>
    <w:rsid w:val="00785A08"/>
    <w:rsid w:val="008A0BEF"/>
    <w:rsid w:val="008A68F1"/>
    <w:rsid w:val="008C3B79"/>
    <w:rsid w:val="009C14ED"/>
    <w:rsid w:val="00AF1F61"/>
    <w:rsid w:val="00BC1E77"/>
    <w:rsid w:val="00D44DF3"/>
    <w:rsid w:val="00E20657"/>
    <w:rsid w:val="00E56262"/>
    <w:rsid w:val="00F43C69"/>
    <w:rsid w:val="082B0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FC678"/>
  <w15:docId w15:val="{140742A9-E1EF-4EAA-A659-01925EB7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1358B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Heading1Char">
    <w:name w:val="Heading 1 Char"/>
    <w:basedOn w:val="DefaultParagraphFont"/>
    <w:link w:val="Heading1"/>
    <w:rsid w:val="001358B6"/>
    <w:rPr>
      <w:rFonts w:asciiTheme="majorHAnsi" w:eastAsiaTheme="majorEastAsia" w:hAnsiTheme="majorHAnsi" w:cstheme="majorBidi"/>
      <w:color w:val="2E74B5" w:themeColor="accent1" w:themeShade="BF"/>
      <w:sz w:val="32"/>
      <w:szCs w:val="32"/>
      <w:lang w:eastAsia="zh-CN"/>
    </w:rPr>
  </w:style>
  <w:style w:type="table" w:styleId="PlainTable2">
    <w:name w:val="Plain Table 2"/>
    <w:basedOn w:val="TableNormal"/>
    <w:uiPriority w:val="42"/>
    <w:rsid w:val="00BC1E7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E206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B77C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14400">
      <w:bodyDiv w:val="1"/>
      <w:marLeft w:val="0"/>
      <w:marRight w:val="0"/>
      <w:marTop w:val="0"/>
      <w:marBottom w:val="0"/>
      <w:divBdr>
        <w:top w:val="none" w:sz="0" w:space="0" w:color="auto"/>
        <w:left w:val="none" w:sz="0" w:space="0" w:color="auto"/>
        <w:bottom w:val="none" w:sz="0" w:space="0" w:color="auto"/>
        <w:right w:val="none" w:sz="0" w:space="0" w:color="auto"/>
      </w:divBdr>
      <w:divsChild>
        <w:div w:id="56128394">
          <w:marLeft w:val="0"/>
          <w:marRight w:val="0"/>
          <w:marTop w:val="0"/>
          <w:marBottom w:val="0"/>
          <w:divBdr>
            <w:top w:val="none" w:sz="0" w:space="0" w:color="auto"/>
            <w:left w:val="none" w:sz="0" w:space="0" w:color="auto"/>
            <w:bottom w:val="none" w:sz="0" w:space="0" w:color="auto"/>
            <w:right w:val="none" w:sz="0" w:space="0" w:color="auto"/>
          </w:divBdr>
          <w:divsChild>
            <w:div w:id="488209246">
              <w:marLeft w:val="0"/>
              <w:marRight w:val="0"/>
              <w:marTop w:val="0"/>
              <w:marBottom w:val="0"/>
              <w:divBdr>
                <w:top w:val="none" w:sz="0" w:space="0" w:color="auto"/>
                <w:left w:val="none" w:sz="0" w:space="0" w:color="auto"/>
                <w:bottom w:val="none" w:sz="0" w:space="0" w:color="auto"/>
                <w:right w:val="none" w:sz="0" w:space="0" w:color="auto"/>
              </w:divBdr>
            </w:div>
          </w:divsChild>
        </w:div>
        <w:div w:id="1151796825">
          <w:marLeft w:val="0"/>
          <w:marRight w:val="0"/>
          <w:marTop w:val="0"/>
          <w:marBottom w:val="0"/>
          <w:divBdr>
            <w:top w:val="none" w:sz="0" w:space="0" w:color="auto"/>
            <w:left w:val="none" w:sz="0" w:space="0" w:color="auto"/>
            <w:bottom w:val="none" w:sz="0" w:space="0" w:color="auto"/>
            <w:right w:val="none" w:sz="0" w:space="0" w:color="auto"/>
          </w:divBdr>
          <w:divsChild>
            <w:div w:id="1267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379">
      <w:bodyDiv w:val="1"/>
      <w:marLeft w:val="0"/>
      <w:marRight w:val="0"/>
      <w:marTop w:val="0"/>
      <w:marBottom w:val="0"/>
      <w:divBdr>
        <w:top w:val="none" w:sz="0" w:space="0" w:color="auto"/>
        <w:left w:val="none" w:sz="0" w:space="0" w:color="auto"/>
        <w:bottom w:val="none" w:sz="0" w:space="0" w:color="auto"/>
        <w:right w:val="none" w:sz="0" w:space="0" w:color="auto"/>
      </w:divBdr>
      <w:divsChild>
        <w:div w:id="1142581097">
          <w:marLeft w:val="0"/>
          <w:marRight w:val="0"/>
          <w:marTop w:val="0"/>
          <w:marBottom w:val="0"/>
          <w:divBdr>
            <w:top w:val="none" w:sz="0" w:space="0" w:color="auto"/>
            <w:left w:val="none" w:sz="0" w:space="0" w:color="auto"/>
            <w:bottom w:val="none" w:sz="0" w:space="0" w:color="auto"/>
            <w:right w:val="none" w:sz="0" w:space="0" w:color="auto"/>
          </w:divBdr>
          <w:divsChild>
            <w:div w:id="592932056">
              <w:marLeft w:val="0"/>
              <w:marRight w:val="0"/>
              <w:marTop w:val="0"/>
              <w:marBottom w:val="0"/>
              <w:divBdr>
                <w:top w:val="none" w:sz="0" w:space="0" w:color="auto"/>
                <w:left w:val="none" w:sz="0" w:space="0" w:color="auto"/>
                <w:bottom w:val="none" w:sz="0" w:space="0" w:color="auto"/>
                <w:right w:val="none" w:sz="0" w:space="0" w:color="auto"/>
              </w:divBdr>
            </w:div>
          </w:divsChild>
        </w:div>
        <w:div w:id="1823349289">
          <w:marLeft w:val="0"/>
          <w:marRight w:val="0"/>
          <w:marTop w:val="0"/>
          <w:marBottom w:val="0"/>
          <w:divBdr>
            <w:top w:val="none" w:sz="0" w:space="0" w:color="auto"/>
            <w:left w:val="none" w:sz="0" w:space="0" w:color="auto"/>
            <w:bottom w:val="none" w:sz="0" w:space="0" w:color="auto"/>
            <w:right w:val="none" w:sz="0" w:space="0" w:color="auto"/>
          </w:divBdr>
          <w:divsChild>
            <w:div w:id="1721049887">
              <w:marLeft w:val="0"/>
              <w:marRight w:val="0"/>
              <w:marTop w:val="0"/>
              <w:marBottom w:val="0"/>
              <w:divBdr>
                <w:top w:val="none" w:sz="0" w:space="0" w:color="auto"/>
                <w:left w:val="none" w:sz="0" w:space="0" w:color="auto"/>
                <w:bottom w:val="none" w:sz="0" w:space="0" w:color="auto"/>
                <w:right w:val="none" w:sz="0" w:space="0" w:color="auto"/>
              </w:divBdr>
            </w:div>
          </w:divsChild>
        </w:div>
        <w:div w:id="190919230">
          <w:marLeft w:val="0"/>
          <w:marRight w:val="0"/>
          <w:marTop w:val="0"/>
          <w:marBottom w:val="0"/>
          <w:divBdr>
            <w:top w:val="none" w:sz="0" w:space="0" w:color="auto"/>
            <w:left w:val="none" w:sz="0" w:space="0" w:color="auto"/>
            <w:bottom w:val="none" w:sz="0" w:space="0" w:color="auto"/>
            <w:right w:val="none" w:sz="0" w:space="0" w:color="auto"/>
          </w:divBdr>
          <w:divsChild>
            <w:div w:id="798769670">
              <w:marLeft w:val="0"/>
              <w:marRight w:val="0"/>
              <w:marTop w:val="0"/>
              <w:marBottom w:val="0"/>
              <w:divBdr>
                <w:top w:val="none" w:sz="0" w:space="0" w:color="auto"/>
                <w:left w:val="none" w:sz="0" w:space="0" w:color="auto"/>
                <w:bottom w:val="none" w:sz="0" w:space="0" w:color="auto"/>
                <w:right w:val="none" w:sz="0" w:space="0" w:color="auto"/>
              </w:divBdr>
            </w:div>
          </w:divsChild>
        </w:div>
        <w:div w:id="1779762064">
          <w:marLeft w:val="0"/>
          <w:marRight w:val="0"/>
          <w:marTop w:val="0"/>
          <w:marBottom w:val="0"/>
          <w:divBdr>
            <w:top w:val="none" w:sz="0" w:space="0" w:color="auto"/>
            <w:left w:val="none" w:sz="0" w:space="0" w:color="auto"/>
            <w:bottom w:val="none" w:sz="0" w:space="0" w:color="auto"/>
            <w:right w:val="none" w:sz="0" w:space="0" w:color="auto"/>
          </w:divBdr>
          <w:divsChild>
            <w:div w:id="8484538">
              <w:marLeft w:val="0"/>
              <w:marRight w:val="0"/>
              <w:marTop w:val="0"/>
              <w:marBottom w:val="0"/>
              <w:divBdr>
                <w:top w:val="none" w:sz="0" w:space="0" w:color="auto"/>
                <w:left w:val="none" w:sz="0" w:space="0" w:color="auto"/>
                <w:bottom w:val="none" w:sz="0" w:space="0" w:color="auto"/>
                <w:right w:val="none" w:sz="0" w:space="0" w:color="auto"/>
              </w:divBdr>
            </w:div>
          </w:divsChild>
        </w:div>
        <w:div w:id="2098280085">
          <w:marLeft w:val="0"/>
          <w:marRight w:val="0"/>
          <w:marTop w:val="0"/>
          <w:marBottom w:val="0"/>
          <w:divBdr>
            <w:top w:val="none" w:sz="0" w:space="0" w:color="auto"/>
            <w:left w:val="none" w:sz="0" w:space="0" w:color="auto"/>
            <w:bottom w:val="none" w:sz="0" w:space="0" w:color="auto"/>
            <w:right w:val="none" w:sz="0" w:space="0" w:color="auto"/>
          </w:divBdr>
          <w:divsChild>
            <w:div w:id="1828008680">
              <w:marLeft w:val="0"/>
              <w:marRight w:val="0"/>
              <w:marTop w:val="0"/>
              <w:marBottom w:val="0"/>
              <w:divBdr>
                <w:top w:val="none" w:sz="0" w:space="0" w:color="auto"/>
                <w:left w:val="none" w:sz="0" w:space="0" w:color="auto"/>
                <w:bottom w:val="none" w:sz="0" w:space="0" w:color="auto"/>
                <w:right w:val="none" w:sz="0" w:space="0" w:color="auto"/>
              </w:divBdr>
            </w:div>
          </w:divsChild>
        </w:div>
        <w:div w:id="1003627990">
          <w:marLeft w:val="0"/>
          <w:marRight w:val="0"/>
          <w:marTop w:val="0"/>
          <w:marBottom w:val="0"/>
          <w:divBdr>
            <w:top w:val="none" w:sz="0" w:space="0" w:color="auto"/>
            <w:left w:val="none" w:sz="0" w:space="0" w:color="auto"/>
            <w:bottom w:val="none" w:sz="0" w:space="0" w:color="auto"/>
            <w:right w:val="none" w:sz="0" w:space="0" w:color="auto"/>
          </w:divBdr>
          <w:divsChild>
            <w:div w:id="9948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38222">
      <w:bodyDiv w:val="1"/>
      <w:marLeft w:val="0"/>
      <w:marRight w:val="0"/>
      <w:marTop w:val="0"/>
      <w:marBottom w:val="0"/>
      <w:divBdr>
        <w:top w:val="none" w:sz="0" w:space="0" w:color="auto"/>
        <w:left w:val="none" w:sz="0" w:space="0" w:color="auto"/>
        <w:bottom w:val="none" w:sz="0" w:space="0" w:color="auto"/>
        <w:right w:val="none" w:sz="0" w:space="0" w:color="auto"/>
      </w:divBdr>
    </w:div>
    <w:div w:id="423501358">
      <w:bodyDiv w:val="1"/>
      <w:marLeft w:val="0"/>
      <w:marRight w:val="0"/>
      <w:marTop w:val="0"/>
      <w:marBottom w:val="0"/>
      <w:divBdr>
        <w:top w:val="none" w:sz="0" w:space="0" w:color="auto"/>
        <w:left w:val="none" w:sz="0" w:space="0" w:color="auto"/>
        <w:bottom w:val="none" w:sz="0" w:space="0" w:color="auto"/>
        <w:right w:val="none" w:sz="0" w:space="0" w:color="auto"/>
      </w:divBdr>
      <w:divsChild>
        <w:div w:id="501622278">
          <w:marLeft w:val="0"/>
          <w:marRight w:val="0"/>
          <w:marTop w:val="0"/>
          <w:marBottom w:val="0"/>
          <w:divBdr>
            <w:top w:val="none" w:sz="0" w:space="0" w:color="auto"/>
            <w:left w:val="none" w:sz="0" w:space="0" w:color="auto"/>
            <w:bottom w:val="none" w:sz="0" w:space="0" w:color="auto"/>
            <w:right w:val="none" w:sz="0" w:space="0" w:color="auto"/>
          </w:divBdr>
          <w:divsChild>
            <w:div w:id="687952292">
              <w:marLeft w:val="0"/>
              <w:marRight w:val="0"/>
              <w:marTop w:val="0"/>
              <w:marBottom w:val="0"/>
              <w:divBdr>
                <w:top w:val="none" w:sz="0" w:space="0" w:color="auto"/>
                <w:left w:val="none" w:sz="0" w:space="0" w:color="auto"/>
                <w:bottom w:val="none" w:sz="0" w:space="0" w:color="auto"/>
                <w:right w:val="none" w:sz="0" w:space="0" w:color="auto"/>
              </w:divBdr>
            </w:div>
          </w:divsChild>
        </w:div>
        <w:div w:id="1412657396">
          <w:marLeft w:val="0"/>
          <w:marRight w:val="0"/>
          <w:marTop w:val="0"/>
          <w:marBottom w:val="0"/>
          <w:divBdr>
            <w:top w:val="none" w:sz="0" w:space="0" w:color="auto"/>
            <w:left w:val="none" w:sz="0" w:space="0" w:color="auto"/>
            <w:bottom w:val="none" w:sz="0" w:space="0" w:color="auto"/>
            <w:right w:val="none" w:sz="0" w:space="0" w:color="auto"/>
          </w:divBdr>
          <w:divsChild>
            <w:div w:id="278226640">
              <w:marLeft w:val="0"/>
              <w:marRight w:val="0"/>
              <w:marTop w:val="0"/>
              <w:marBottom w:val="0"/>
              <w:divBdr>
                <w:top w:val="none" w:sz="0" w:space="0" w:color="auto"/>
                <w:left w:val="none" w:sz="0" w:space="0" w:color="auto"/>
                <w:bottom w:val="none" w:sz="0" w:space="0" w:color="auto"/>
                <w:right w:val="none" w:sz="0" w:space="0" w:color="auto"/>
              </w:divBdr>
            </w:div>
          </w:divsChild>
        </w:div>
        <w:div w:id="854274290">
          <w:marLeft w:val="0"/>
          <w:marRight w:val="0"/>
          <w:marTop w:val="0"/>
          <w:marBottom w:val="0"/>
          <w:divBdr>
            <w:top w:val="none" w:sz="0" w:space="0" w:color="auto"/>
            <w:left w:val="none" w:sz="0" w:space="0" w:color="auto"/>
            <w:bottom w:val="none" w:sz="0" w:space="0" w:color="auto"/>
            <w:right w:val="none" w:sz="0" w:space="0" w:color="auto"/>
          </w:divBdr>
          <w:divsChild>
            <w:div w:id="560023308">
              <w:marLeft w:val="0"/>
              <w:marRight w:val="0"/>
              <w:marTop w:val="0"/>
              <w:marBottom w:val="0"/>
              <w:divBdr>
                <w:top w:val="none" w:sz="0" w:space="0" w:color="auto"/>
                <w:left w:val="none" w:sz="0" w:space="0" w:color="auto"/>
                <w:bottom w:val="none" w:sz="0" w:space="0" w:color="auto"/>
                <w:right w:val="none" w:sz="0" w:space="0" w:color="auto"/>
              </w:divBdr>
            </w:div>
          </w:divsChild>
        </w:div>
        <w:div w:id="116092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365362">
      <w:bodyDiv w:val="1"/>
      <w:marLeft w:val="0"/>
      <w:marRight w:val="0"/>
      <w:marTop w:val="0"/>
      <w:marBottom w:val="0"/>
      <w:divBdr>
        <w:top w:val="none" w:sz="0" w:space="0" w:color="auto"/>
        <w:left w:val="none" w:sz="0" w:space="0" w:color="auto"/>
        <w:bottom w:val="none" w:sz="0" w:space="0" w:color="auto"/>
        <w:right w:val="none" w:sz="0" w:space="0" w:color="auto"/>
      </w:divBdr>
      <w:divsChild>
        <w:div w:id="20980886">
          <w:marLeft w:val="0"/>
          <w:marRight w:val="0"/>
          <w:marTop w:val="0"/>
          <w:marBottom w:val="0"/>
          <w:divBdr>
            <w:top w:val="none" w:sz="0" w:space="0" w:color="auto"/>
            <w:left w:val="none" w:sz="0" w:space="0" w:color="auto"/>
            <w:bottom w:val="none" w:sz="0" w:space="0" w:color="auto"/>
            <w:right w:val="none" w:sz="0" w:space="0" w:color="auto"/>
          </w:divBdr>
          <w:divsChild>
            <w:div w:id="20495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5977">
      <w:bodyDiv w:val="1"/>
      <w:marLeft w:val="0"/>
      <w:marRight w:val="0"/>
      <w:marTop w:val="0"/>
      <w:marBottom w:val="0"/>
      <w:divBdr>
        <w:top w:val="none" w:sz="0" w:space="0" w:color="auto"/>
        <w:left w:val="none" w:sz="0" w:space="0" w:color="auto"/>
        <w:bottom w:val="none" w:sz="0" w:space="0" w:color="auto"/>
        <w:right w:val="none" w:sz="0" w:space="0" w:color="auto"/>
      </w:divBdr>
    </w:div>
    <w:div w:id="1487211209">
      <w:bodyDiv w:val="1"/>
      <w:marLeft w:val="0"/>
      <w:marRight w:val="0"/>
      <w:marTop w:val="0"/>
      <w:marBottom w:val="0"/>
      <w:divBdr>
        <w:top w:val="none" w:sz="0" w:space="0" w:color="auto"/>
        <w:left w:val="none" w:sz="0" w:space="0" w:color="auto"/>
        <w:bottom w:val="none" w:sz="0" w:space="0" w:color="auto"/>
        <w:right w:val="none" w:sz="0" w:space="0" w:color="auto"/>
      </w:divBdr>
    </w:div>
    <w:div w:id="1508904982">
      <w:bodyDiv w:val="1"/>
      <w:marLeft w:val="0"/>
      <w:marRight w:val="0"/>
      <w:marTop w:val="0"/>
      <w:marBottom w:val="0"/>
      <w:divBdr>
        <w:top w:val="none" w:sz="0" w:space="0" w:color="auto"/>
        <w:left w:val="none" w:sz="0" w:space="0" w:color="auto"/>
        <w:bottom w:val="none" w:sz="0" w:space="0" w:color="auto"/>
        <w:right w:val="none" w:sz="0" w:space="0" w:color="auto"/>
      </w:divBdr>
      <w:divsChild>
        <w:div w:id="1011683725">
          <w:marLeft w:val="0"/>
          <w:marRight w:val="0"/>
          <w:marTop w:val="0"/>
          <w:marBottom w:val="0"/>
          <w:divBdr>
            <w:top w:val="none" w:sz="0" w:space="0" w:color="auto"/>
            <w:left w:val="none" w:sz="0" w:space="0" w:color="auto"/>
            <w:bottom w:val="none" w:sz="0" w:space="0" w:color="auto"/>
            <w:right w:val="none" w:sz="0" w:space="0" w:color="auto"/>
          </w:divBdr>
          <w:divsChild>
            <w:div w:id="19837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572</TotalTime>
  <Pages>19</Pages>
  <Words>4145</Words>
  <Characters>23628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Midowiwe</dc:creator>
  <cp:lastModifiedBy>midowiwesteven@gmail.com</cp:lastModifiedBy>
  <cp:revision>16</cp:revision>
  <dcterms:created xsi:type="dcterms:W3CDTF">2026-01-16T00:14:00Z</dcterms:created>
  <dcterms:modified xsi:type="dcterms:W3CDTF">2026-01-28T14:26:00Z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AB8AF54488084C3CA2C16BE54251F049_11</vt:lpwstr>
  </property>
</Properties>
</file>