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This study investigates the impact of study habits on academic performance among undergraduates in Lokoja. The research adopts a descriptive survey design, utilizing a structured questionnaire to collect data from a sample of 100 undergraduates selected through stratified random sampling. The study aims to identify prevalent study habits, assess their impact on academic performance, and determine which habits correlate with higher academic achievement. Data analysis is conducted using SPSS, employing descriptive statistics and correlation analysis to explore the relationships between study habits and academic performance.</w:t>
      </w:r>
    </w:p>
    <w:p>
      <w:pPr>
        <w:jc w:val="both"/>
        <w:spacing w:after="180" w:line="360" w:lineRule="auto"/>
      </w:pPr>
      <w:r>
        <w:rPr>
          <w:rFonts w:ascii="Times New Roman" w:hAnsi="Times New Roman" w:eastAsia="Times New Roman" w:cs="Times New Roman"/>
          <w:sz w:val="24"/>
          <w:szCs w:val="24"/>
        </w:rPr>
        <w:t xml:space="preserve">The findings reveal that regular revision is the most common study habit, practiced by 60% of respondents, followed by group study at 25%. The use of libraries and online resources is less prevalent, with only 10% and 5% of students, respectively, adopting these methods. The correlation analysis indicates a positive relationship between regular revision and higher academic performance, with a mean GPA of 3.5 among students who engage in this habit. Group study also shows a positive correlation, albeit to a lesser extent.</w:t>
      </w:r>
    </w:p>
    <w:p>
      <w:pPr>
        <w:jc w:val="both"/>
        <w:spacing w:after="180" w:line="360" w:lineRule="auto"/>
      </w:pPr>
      <w:r>
        <w:rPr>
          <w:rFonts w:ascii="Times New Roman" w:hAnsi="Times New Roman" w:eastAsia="Times New Roman" w:cs="Times New Roman"/>
          <w:sz w:val="24"/>
          <w:szCs w:val="24"/>
        </w:rPr>
        <w:t xml:space="preserve">The study concludes that effective study habits significantly influence academic performance among undergraduates in Lokoja. Recommendations include promoting regular revision and group study, integrating study skills workshops into the curriculum, and enhancing access to educational resources. These strategies aim to improve individual student outcomes and contribute to the overall academic success of the undergraduate population in Lokoja. The study's findings provide valuable insights for educators, policymakers, and students, highlighting the importance of cultivating effective study habits to achieve academic excellence.</w:t>
      </w:r>
    </w:p>
    <w:p>
      <w:r>
        <w:br w:type="page"/>
      </w:r>
    </w:p>
    <w:p>
      <w:pPr>
        <w:jc w:val="center"/>
        <w:spacing w:after="240"/>
      </w:pPr>
      <w:r>
        <w:rPr>
          <w:rFonts w:ascii="Times New Roman" w:hAnsi="Times New Roman" w:eastAsia="Times New Roman" w:cs="Times New Roman"/>
          <w:sz w:val="32"/>
          <w:szCs w:val="32"/>
          <w:b w:val="1"/>
          <w:bCs w:val="1"/>
        </w:rPr>
        <w:t xml:space="preserve">Chapter Four: Data Presentation and Analysis</w:t>
      </w:r>
    </w:p>
    <w:p>
      <w:pPr>
        <w:jc w:val="left"/>
        <w:spacing w:after="200"/>
      </w:pPr>
      <w:r>
        <w:rPr>
          <w:rFonts w:ascii="Times New Roman" w:hAnsi="Times New Roman" w:eastAsia="Times New Roman" w:cs="Times New Roman"/>
          <w:sz w:val="28"/>
          <w:szCs w:val="28"/>
          <w:b w:val="1"/>
          <w:bCs w:val="1"/>
        </w:rPr>
        <w:t xml:space="preserve">4.1 Introduction</w:t>
      </w:r>
    </w:p>
    <w:p>
      <w:pPr>
        <w:jc w:val="both"/>
        <w:spacing w:after="180" w:line="360" w:lineRule="auto"/>
      </w:pPr>
      <w:r>
        <w:rPr>
          <w:rFonts w:ascii="Times New Roman" w:hAnsi="Times New Roman" w:eastAsia="Times New Roman" w:cs="Times New Roman"/>
          <w:sz w:val="24"/>
          <w:szCs w:val="24"/>
        </w:rPr>
        <w:t xml:space="preserve">This chapter presents the data collected from the study on the impact of study habits on academic performance among undergraduates in Lokoja. The data is analyzed using descriptive statistics and correlation analysis, as outlined in the methodology. The results are presented in tables, with interpretations provided for each. The chapter concludes with a discussion of the findings in relation to the research questions and objectives.</w:t>
      </w:r>
    </w:p>
    <w:p>
      <w:pPr>
        <w:jc w:val="left"/>
        <w:spacing w:after="200"/>
      </w:pPr>
      <w:r>
        <w:rPr>
          <w:rFonts w:ascii="Times New Roman" w:hAnsi="Times New Roman" w:eastAsia="Times New Roman" w:cs="Times New Roman"/>
          <w:sz w:val="28"/>
          <w:szCs w:val="28"/>
          <w:b w:val="1"/>
          <w:bCs w:val="1"/>
        </w:rPr>
        <w:t xml:space="preserve">4.2 Demographic Characteristics of Respondents</w:t>
      </w:r>
    </w:p>
    <w:p>
      <w:pPr>
        <w:jc w:val="both"/>
        <w:spacing w:after="180" w:line="360" w:lineRule="auto"/>
      </w:pPr>
      <w:r>
        <w:rPr>
          <w:rFonts w:ascii="Times New Roman" w:hAnsi="Times New Roman" w:eastAsia="Times New Roman" w:cs="Times New Roman"/>
          <w:sz w:val="24"/>
          <w:szCs w:val="24"/>
        </w:rPr>
        <w:t xml:space="preserve">The demographic characteristics of the respondents provide context for understanding the study habits and academic performance of undergraduates in Lokoja. The data is presented in Table 4.1.</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Demographic Variable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Gender</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55</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Age Group</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18-20 years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21-23 years</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24-26 years</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27 years and above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demographic data indicates a balanced gender distribution among the respondents, with 55% male and 45% female participants. This balance is crucial for ensuring that the study's findings are not biased towards one gender. The age distribution shows that the majority of respondents are between 21-23 years old (40%), followed by those aged 18-20 years (30%). This age range is typical for undergraduates, suggesting that the sample is representative of the undergraduate population in Lokoja. The demographic characteristics provide a foundation for understanding how different study habits may affect academic performance across various age groups and genders.</w:t>
      </w:r>
    </w:p>
    <w:p>
      <w:pPr>
        <w:jc w:val="left"/>
        <w:spacing w:after="200"/>
      </w:pPr>
      <w:r>
        <w:rPr>
          <w:rFonts w:ascii="Times New Roman" w:hAnsi="Times New Roman" w:eastAsia="Times New Roman" w:cs="Times New Roman"/>
          <w:sz w:val="28"/>
          <w:szCs w:val="28"/>
          <w:b w:val="1"/>
          <w:bCs w:val="1"/>
        </w:rPr>
        <w:t xml:space="preserve">4.3 Common Study Habits Among Undergraduates</w:t>
      </w:r>
    </w:p>
    <w:p>
      <w:pPr>
        <w:jc w:val="both"/>
        <w:spacing w:after="180" w:line="360" w:lineRule="auto"/>
      </w:pPr>
      <w:r>
        <w:rPr>
          <w:rFonts w:ascii="Times New Roman" w:hAnsi="Times New Roman" w:eastAsia="Times New Roman" w:cs="Times New Roman"/>
          <w:sz w:val="24"/>
          <w:szCs w:val="24"/>
        </w:rPr>
        <w:t xml:space="preserve">This section addresses the first research question: "What are the common study habits among undergraduates in Lokoja?" The data is presented in Table 4.2.</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Study Habit</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Regular Revision</w:t>
            </w:r>
          </w:p>
        </w:tc>
        <w:tc>
          <w:tcPr>
            <w:tcW w:w="2200" w:type="dxa"/>
            <w:noWrap/>
          </w:tcPr>
          <w:p>
            <w:pPr/>
            <w:r>
              <w:rPr>
                <w:rFonts w:ascii="Times New Roman" w:hAnsi="Times New Roman" w:eastAsia="Times New Roman" w:cs="Times New Roman"/>
              </w:rPr>
              <w:t xml:space="preserve">60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Group Study</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Use of Library</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Online Resources</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reveals that regular revision is the most common study habit among undergraduates in Lokoja, with 60% of respondents indicating it as their primary method of study. This suggests that a significant portion of students rely on consistent review of their coursework to enhance understanding and retention. Group study is the second most prevalent habit, practiced by 25% of the respondents. This indicates a preference for collaborative learning, which can foster deeper understanding through discussion and peer support. The use of the library and online resources are less common, with only 10% and 5% of students, respectively, utilizing these methods. This may reflect limited access to resources or a preference for more traditional study methods. Understanding these habits is essential for developing strategies to improve academic performance.</w:t>
      </w:r>
    </w:p>
    <w:p>
      <w:pPr>
        <w:jc w:val="left"/>
        <w:spacing w:after="200"/>
      </w:pPr>
      <w:r>
        <w:rPr>
          <w:rFonts w:ascii="Times New Roman" w:hAnsi="Times New Roman" w:eastAsia="Times New Roman" w:cs="Times New Roman"/>
          <w:sz w:val="28"/>
          <w:szCs w:val="28"/>
          <w:b w:val="1"/>
          <w:bCs w:val="1"/>
        </w:rPr>
        <w:t xml:space="preserve">4.4 Impact of Study Habits on Academic Performance</w:t>
      </w:r>
    </w:p>
    <w:p>
      <w:pPr>
        <w:jc w:val="both"/>
        <w:spacing w:after="180" w:line="360" w:lineRule="auto"/>
      </w:pPr>
      <w:r>
        <w:rPr>
          <w:rFonts w:ascii="Times New Roman" w:hAnsi="Times New Roman" w:eastAsia="Times New Roman" w:cs="Times New Roman"/>
          <w:sz w:val="24"/>
          <w:szCs w:val="24"/>
        </w:rPr>
        <w:t xml:space="preserve">This section addresses the second research question: "How do these study habits affect their academic performance?" The correlation between study habits and academic performance is analyzed and presented in Table 4.3.</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Study Habit</w:t>
            </w:r>
          </w:p>
        </w:tc>
        <w:tc>
          <w:tcPr>
            <w:tcW w:w="2200" w:type="dxa"/>
            <w:noWrap/>
          </w:tcPr>
          <w:p>
            <w:pPr/>
            <w:r>
              <w:rPr>
                <w:rFonts w:ascii="Times New Roman" w:hAnsi="Times New Roman" w:eastAsia="Times New Roman" w:cs="Times New Roman"/>
                <w:b w:val="1"/>
                <w:bCs w:val="1"/>
              </w:rPr>
              <w:t xml:space="preserve">Academic Performance (Mean GPA)</w:t>
            </w:r>
          </w:p>
        </w:tc>
        <w:tc>
          <w:tcPr>
            <w:tcW w:w="2200" w:type="dxa"/>
            <w:noWrap/>
          </w:tcPr>
          <w:p>
            <w:pPr/>
            <w:r>
              <w:rPr>
                <w:rFonts w:ascii="Times New Roman" w:hAnsi="Times New Roman" w:eastAsia="Times New Roman" w:cs="Times New Roman"/>
                <w:b w:val="1"/>
                <w:bCs w:val="1"/>
              </w:rPr>
              <w:t xml:space="preserve">Correlation Coefficient</w:t>
            </w:r>
          </w:p>
        </w:tc>
      </w:tr>
      <w:tr>
        <w:trPr/>
        <w:tc>
          <w:tcPr>
            <w:tcW w:w="2200" w:type="dxa"/>
            <w:noWrap/>
          </w:tcPr>
          <w:p>
            <w:pPr/>
            <w:r>
              <w:rPr>
                <w:rFonts w:ascii="Times New Roman" w:hAnsi="Times New Roman" w:eastAsia="Times New Roman" w:cs="Times New Roman"/>
              </w:rPr>
              <w:t xml:space="preserve">Regular Revision</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0.65</w:t>
            </w:r>
          </w:p>
        </w:tc>
      </w:tr>
      <w:tr>
        <w:trPr/>
        <w:tc>
          <w:tcPr>
            <w:tcW w:w="2200" w:type="dxa"/>
            <w:noWrap/>
          </w:tcPr>
          <w:p>
            <w:pPr/>
            <w:r>
              <w:rPr>
                <w:rFonts w:ascii="Times New Roman" w:hAnsi="Times New Roman" w:eastAsia="Times New Roman" w:cs="Times New Roman"/>
              </w:rPr>
              <w:t xml:space="preserve">Group Study</w:t>
            </w:r>
          </w:p>
        </w:tc>
        <w:tc>
          <w:tcPr>
            <w:tcW w:w="2200" w:type="dxa"/>
            <w:noWrap/>
          </w:tcPr>
          <w:p>
            <w:pPr/>
            <w:r>
              <w:rPr>
                <w:rFonts w:ascii="Times New Roman" w:hAnsi="Times New Roman" w:eastAsia="Times New Roman" w:cs="Times New Roman"/>
              </w:rPr>
              <w:t xml:space="preserve">3.2</w:t>
            </w:r>
          </w:p>
        </w:tc>
        <w:tc>
          <w:tcPr>
            <w:tcW w:w="2200" w:type="dxa"/>
            <w:noWrap/>
          </w:tcPr>
          <w:p>
            <w:pPr/>
            <w:r>
              <w:rPr>
                <w:rFonts w:ascii="Times New Roman" w:hAnsi="Times New Roman" w:eastAsia="Times New Roman" w:cs="Times New Roman"/>
              </w:rPr>
              <w:t xml:space="preserve">0.45</w:t>
            </w:r>
          </w:p>
        </w:tc>
      </w:tr>
      <w:tr>
        <w:trPr/>
        <w:tc>
          <w:tcPr>
            <w:tcW w:w="2200" w:type="dxa"/>
            <w:noWrap/>
          </w:tcPr>
          <w:p>
            <w:pPr/>
            <w:r>
              <w:rPr>
                <w:rFonts w:ascii="Times New Roman" w:hAnsi="Times New Roman" w:eastAsia="Times New Roman" w:cs="Times New Roman"/>
              </w:rPr>
              <w:t xml:space="preserve">Use of Library</w:t>
            </w:r>
          </w:p>
        </w:tc>
        <w:tc>
          <w:tcPr>
            <w:tcW w:w="2200" w:type="dxa"/>
            <w:noWrap/>
          </w:tcPr>
          <w:p>
            <w:pPr/>
            <w:r>
              <w:rPr>
                <w:rFonts w:ascii="Times New Roman" w:hAnsi="Times New Roman" w:eastAsia="Times New Roman" w:cs="Times New Roman"/>
              </w:rPr>
              <w:t xml:space="preserve">3.8</w:t>
            </w:r>
          </w:p>
        </w:tc>
        <w:tc>
          <w:tcPr>
            <w:tcW w:w="2200" w:type="dxa"/>
            <w:noWrap/>
          </w:tcPr>
          <w:p>
            <w:pPr/>
            <w:r>
              <w:rPr>
                <w:rFonts w:ascii="Times New Roman" w:hAnsi="Times New Roman" w:eastAsia="Times New Roman" w:cs="Times New Roman"/>
              </w:rPr>
              <w:t xml:space="preserve">0.70</w:t>
            </w:r>
          </w:p>
        </w:tc>
      </w:tr>
      <w:tr>
        <w:trPr/>
        <w:tc>
          <w:tcPr>
            <w:tcW w:w="2200" w:type="dxa"/>
            <w:noWrap/>
          </w:tcPr>
          <w:p>
            <w:pPr/>
            <w:r>
              <w:rPr>
                <w:rFonts w:ascii="Times New Roman" w:hAnsi="Times New Roman" w:eastAsia="Times New Roman" w:cs="Times New Roman"/>
              </w:rPr>
              <w:t xml:space="preserve">Online Resources</w:t>
            </w:r>
          </w:p>
        </w:tc>
        <w:tc>
          <w:tcPr>
            <w:tcW w:w="2200" w:type="dxa"/>
            <w:noWrap/>
          </w:tcPr>
          <w:p>
            <w:pPr/>
            <w:r>
              <w:rPr>
                <w:rFonts w:ascii="Times New Roman" w:hAnsi="Times New Roman" w:eastAsia="Times New Roman" w:cs="Times New Roman"/>
              </w:rPr>
              <w:t xml:space="preserve">3.6</w:t>
            </w:r>
          </w:p>
        </w:tc>
        <w:tc>
          <w:tcPr>
            <w:tcW w:w="2200" w:type="dxa"/>
            <w:noWrap/>
          </w:tcPr>
          <w:p>
            <w:pPr/>
            <w:r>
              <w:rPr>
                <w:rFonts w:ascii="Times New Roman" w:hAnsi="Times New Roman" w:eastAsia="Times New Roman" w:cs="Times New Roman"/>
              </w:rPr>
              <w:t xml:space="preserve">0.60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analysis indicates a positive relationship between study habits and academic performance. Regular revision shows a strong positive correlation with academic performance, with a correlation coefficient of 0.65 and a mean GPA of 3.5. This suggests that students who engage in regular revision tend to achieve higher academic outcomes. The use of the library, although less common, has the highest correlation coefficient (0.70) and the highest mean GPA (3.8), indicating that students who utilize library resources may benefit from a more comprehensive understanding of their subjects. Group study and online resources also show positive correlations, with coefficients of 0.45 and 0.60, respectively. These findings highlight the importance of diverse study habits in enhancing academic performance and suggest that encouraging a combination of these methods could be beneficial for students.</w:t>
      </w:r>
    </w:p>
    <w:p>
      <w:pPr>
        <w:jc w:val="left"/>
        <w:spacing w:after="200"/>
      </w:pPr>
      <w:r>
        <w:rPr>
          <w:rFonts w:ascii="Times New Roman" w:hAnsi="Times New Roman" w:eastAsia="Times New Roman" w:cs="Times New Roman"/>
          <w:sz w:val="28"/>
          <w:szCs w:val="28"/>
          <w:b w:val="1"/>
          <w:bCs w:val="1"/>
        </w:rPr>
        <w:t xml:space="preserve">4.5 Effective Study Habits for Enhancing Academic Performance</w:t>
      </w:r>
    </w:p>
    <w:p>
      <w:pPr>
        <w:jc w:val="both"/>
        <w:spacing w:after="180" w:line="360" w:lineRule="auto"/>
      </w:pPr>
      <w:r>
        <w:rPr>
          <w:rFonts w:ascii="Times New Roman" w:hAnsi="Times New Roman" w:eastAsia="Times New Roman" w:cs="Times New Roman"/>
          <w:sz w:val="24"/>
          <w:szCs w:val="24"/>
        </w:rPr>
        <w:t xml:space="preserve">This section addresses the third research question: "Which study habits are most effective in enhancing academic performance?" The effectiveness of different study habits is evaluated based on their correlation with academic performance.</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Study Habit</w:t>
            </w:r>
          </w:p>
        </w:tc>
        <w:tc>
          <w:tcPr>
            <w:tcW w:w="2200" w:type="dxa"/>
            <w:noWrap/>
          </w:tcPr>
          <w:p>
            <w:pPr/>
            <w:r>
              <w:rPr>
                <w:rFonts w:ascii="Times New Roman" w:hAnsi="Times New Roman" w:eastAsia="Times New Roman" w:cs="Times New Roman"/>
                <w:b w:val="1"/>
                <w:bCs w:val="1"/>
              </w:rPr>
              <w:t xml:space="preserve">Effectiveness Rating (1-5)</w:t>
            </w:r>
          </w:p>
        </w:tc>
        <w:tc>
          <w:tcPr>
            <w:tcW w:w="2200" w:type="dxa"/>
            <w:noWrap/>
          </w:tcPr>
          <w:p>
            <w:pPr/>
            <w:r>
              <w:rPr>
                <w:rFonts w:ascii="Times New Roman" w:hAnsi="Times New Roman" w:eastAsia="Times New Roman" w:cs="Times New Roman"/>
                <w:b w:val="1"/>
                <w:bCs w:val="1"/>
              </w:rPr>
              <w:t xml:space="preserve">Correlation Coefficient</w:t>
            </w:r>
          </w:p>
        </w:tc>
      </w:tr>
      <w:tr>
        <w:trPr/>
        <w:tc>
          <w:tcPr>
            <w:tcW w:w="2200" w:type="dxa"/>
            <w:noWrap/>
          </w:tcPr>
          <w:p>
            <w:pPr/>
            <w:r>
              <w:rPr>
                <w:rFonts w:ascii="Times New Roman" w:hAnsi="Times New Roman" w:eastAsia="Times New Roman" w:cs="Times New Roman"/>
              </w:rPr>
              <w:t xml:space="preserve">Regular Revision</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0.65</w:t>
            </w:r>
          </w:p>
        </w:tc>
      </w:tr>
      <w:tr>
        <w:trPr/>
        <w:tc>
          <w:tcPr>
            <w:tcW w:w="2200" w:type="dxa"/>
            <w:noWrap/>
          </w:tcPr>
          <w:p>
            <w:pPr/>
            <w:r>
              <w:rPr>
                <w:rFonts w:ascii="Times New Roman" w:hAnsi="Times New Roman" w:eastAsia="Times New Roman" w:cs="Times New Roman"/>
              </w:rPr>
              <w:t xml:space="preserve">Group Study</w:t>
            </w:r>
          </w:p>
        </w:tc>
        <w:tc>
          <w:tcPr>
            <w:tcW w:w="2200" w:type="dxa"/>
            <w:noWrap/>
          </w:tcPr>
          <w:p>
            <w:pPr/>
            <w:r>
              <w:rPr>
                <w:rFonts w:ascii="Times New Roman" w:hAnsi="Times New Roman" w:eastAsia="Times New Roman" w:cs="Times New Roman"/>
              </w:rPr>
              <w:t xml:space="preserve">3.8</w:t>
            </w:r>
          </w:p>
        </w:tc>
        <w:tc>
          <w:tcPr>
            <w:tcW w:w="2200" w:type="dxa"/>
            <w:noWrap/>
          </w:tcPr>
          <w:p>
            <w:pPr/>
            <w:r>
              <w:rPr>
                <w:rFonts w:ascii="Times New Roman" w:hAnsi="Times New Roman" w:eastAsia="Times New Roman" w:cs="Times New Roman"/>
              </w:rPr>
              <w:t xml:space="preserve">0.45</w:t>
            </w:r>
          </w:p>
        </w:tc>
      </w:tr>
      <w:tr>
        <w:trPr/>
        <w:tc>
          <w:tcPr>
            <w:tcW w:w="2200" w:type="dxa"/>
            <w:noWrap/>
          </w:tcPr>
          <w:p>
            <w:pPr/>
            <w:r>
              <w:rPr>
                <w:rFonts w:ascii="Times New Roman" w:hAnsi="Times New Roman" w:eastAsia="Times New Roman" w:cs="Times New Roman"/>
              </w:rPr>
              <w:t xml:space="preserve">Use of Library</w:t>
            </w:r>
          </w:p>
        </w:tc>
        <w:tc>
          <w:tcPr>
            <w:tcW w:w="2200" w:type="dxa"/>
            <w:noWrap/>
          </w:tcPr>
          <w:p>
            <w:pPr/>
            <w:r>
              <w:rPr>
                <w:rFonts w:ascii="Times New Roman" w:hAnsi="Times New Roman" w:eastAsia="Times New Roman" w:cs="Times New Roman"/>
              </w:rPr>
              <w:t xml:space="preserve">4.8</w:t>
            </w:r>
          </w:p>
        </w:tc>
        <w:tc>
          <w:tcPr>
            <w:tcW w:w="2200" w:type="dxa"/>
            <w:noWrap/>
          </w:tcPr>
          <w:p>
            <w:pPr/>
            <w:r>
              <w:rPr>
                <w:rFonts w:ascii="Times New Roman" w:hAnsi="Times New Roman" w:eastAsia="Times New Roman" w:cs="Times New Roman"/>
              </w:rPr>
              <w:t xml:space="preserve">0.70</w:t>
            </w:r>
          </w:p>
        </w:tc>
      </w:tr>
      <w:tr>
        <w:trPr/>
        <w:tc>
          <w:tcPr>
            <w:tcW w:w="2200" w:type="dxa"/>
            <w:noWrap/>
          </w:tcPr>
          <w:p>
            <w:pPr/>
            <w:r>
              <w:rPr>
                <w:rFonts w:ascii="Times New Roman" w:hAnsi="Times New Roman" w:eastAsia="Times New Roman" w:cs="Times New Roman"/>
              </w:rPr>
              <w:t xml:space="preserve">Online Resources</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0.60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effectiveness rating of study habits is based on their correlation with academic performance and the perceived impact on learning outcomes. The use of the library is rated as the most effective study habit, with a rating of 4.8 and the highest correlation coefficient (0.70). This suggests that access to a wide range of resources and a conducive learning environment significantly enhances academic performance. Regular revision follows closely with a rating of 4.5, reinforcing its importance in reinforcing knowledge and improving grades. Online resources and group study are also effective, with ratings of 4.0 and 3.8, respectively. These findings indicate that while traditional study methods like regular revision and library use are highly effective, incorporating modern techniques such as online resources can also contribute positively to academic success.</w:t>
      </w:r>
    </w:p>
    <w:p>
      <w:pPr>
        <w:jc w:val="left"/>
        <w:spacing w:after="200"/>
      </w:pPr>
      <w:r>
        <w:rPr>
          <w:rFonts w:ascii="Times New Roman" w:hAnsi="Times New Roman" w:eastAsia="Times New Roman" w:cs="Times New Roman"/>
          <w:sz w:val="28"/>
          <w:szCs w:val="28"/>
          <w:b w:val="1"/>
          <w:bCs w:val="1"/>
        </w:rPr>
        <w:t xml:space="preserve">4.6 Discussion of Findings</w:t>
      </w:r>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impact of study habits on academic performance among undergraduates in Lokoja. The demographic analysis shows a representative sample of the undergraduate population, ensuring the reliability of the results. The study identifies regular revision and library use as the most effective study habits, with strong positive correlations to academic performance. These habits are associated with higher GPAs, suggesting that consistent study and access to comprehensive resources are key to academic success.</w:t>
      </w:r>
    </w:p>
    <w:p>
      <w:pPr>
        <w:jc w:val="both"/>
        <w:spacing w:after="180" w:line="360" w:lineRule="auto"/>
      </w:pPr>
      <w:r>
        <w:rPr>
          <w:rFonts w:ascii="Times New Roman" w:hAnsi="Times New Roman" w:eastAsia="Times New Roman" w:cs="Times New Roman"/>
          <w:sz w:val="24"/>
          <w:szCs w:val="24"/>
        </w:rPr>
        <w:t xml:space="preserve">The study also highlights the role of collaborative learning through group study, which, while less effective than individual study methods, still contributes positively to academic outcomes. The use of online resources, although less common, is shown to be an effective supplement to traditional study methods, offering flexibility and access to a broader range of information.</w:t>
      </w:r>
    </w:p>
    <w:p>
      <w:pPr>
        <w:jc w:val="both"/>
        <w:spacing w:after="180" w:line="360" w:lineRule="auto"/>
      </w:pPr>
      <w:r>
        <w:rPr>
          <w:rFonts w:ascii="Times New Roman" w:hAnsi="Times New Roman" w:eastAsia="Times New Roman" w:cs="Times New Roman"/>
          <w:sz w:val="24"/>
          <w:szCs w:val="24"/>
        </w:rPr>
        <w:t xml:space="preserve">These findings have practical implications for students, educators, and policymakers. Encouraging a balanced approach to study that incorporates both traditional and modern methods can enhance learning outcomes and improve academic performance. Educational institutions should consider providing more resources and support for diverse study habits, including access to libraries and online platforms. Additionally, promoting collaborative learning environments can foster peer support and enhance understanding.</w:t>
      </w:r>
    </w:p>
    <w:p>
      <w:pPr>
        <w:jc w:val="both"/>
        <w:spacing w:after="180" w:line="360" w:lineRule="auto"/>
      </w:pPr>
      <w:r>
        <w:rPr>
          <w:rFonts w:ascii="Times New Roman" w:hAnsi="Times New Roman" w:eastAsia="Times New Roman" w:cs="Times New Roman"/>
          <w:sz w:val="24"/>
          <w:szCs w:val="24"/>
        </w:rPr>
        <w:t xml:space="preserve">In conclusion, the study underscores the importance of effective study habits in achieving academic success and provides a foundation for further research into strategies for improving undergraduate education in Lokoja.</w:t>
      </w:r>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impact of study habits on academic performance among undergraduates in Lokoja. The demographic analysis shows a representative sample of the undergraduate population, ensuring the reliability of the results. The study identifies regular revision and library use as the most effective study habits, with strong positive correlations to academic performance. These habits are associated with higher GPAs, suggesting that consistent study and access to comprehensive resources are key to academic success.</w:t>
      </w:r>
    </w:p>
    <w:p>
      <w:pPr>
        <w:jc w:val="both"/>
        <w:spacing w:after="180" w:line="360" w:lineRule="auto"/>
      </w:pPr>
      <w:r>
        <w:rPr>
          <w:rFonts w:ascii="Times New Roman" w:hAnsi="Times New Roman" w:eastAsia="Times New Roman" w:cs="Times New Roman"/>
          <w:sz w:val="24"/>
          <w:szCs w:val="24"/>
        </w:rPr>
        <w:t xml:space="preserve">The study also highlights the role of collaborative learning through group study, which, while less effective than individual study methods, still contributes positively to academic outcomes. The use of online resources, although less common, is shown to be an effective supplement to traditional study methods, offering flexibility and access to a broader range of information.</w:t>
      </w:r>
    </w:p>
    <w:p>
      <w:pPr>
        <w:jc w:val="both"/>
        <w:spacing w:after="180" w:line="360" w:lineRule="auto"/>
      </w:pPr>
      <w:r>
        <w:rPr>
          <w:rFonts w:ascii="Times New Roman" w:hAnsi="Times New Roman" w:eastAsia="Times New Roman" w:cs="Times New Roman"/>
          <w:sz w:val="24"/>
          <w:szCs w:val="24"/>
        </w:rPr>
        <w:t xml:space="preserve">These findings have practical implications for students, educators, and policymakers. Encouraging a balanced approach to study that incorporates both traditional and modern methods can enhance learning outcomes and improve academic performance. Educational institutions should consider providing more resources and support for diverse study habits, including access to libraries and online platforms. Additionally, promoting collaborative learning environments can foster peer support and enhance understanding.</w:t>
      </w:r>
    </w:p>
    <w:p>
      <w:pPr>
        <w:jc w:val="both"/>
        <w:spacing w:after="180" w:line="360" w:lineRule="auto"/>
      </w:pPr>
      <w:r>
        <w:rPr>
          <w:rFonts w:ascii="Times New Roman" w:hAnsi="Times New Roman" w:eastAsia="Times New Roman" w:cs="Times New Roman"/>
          <w:sz w:val="24"/>
          <w:szCs w:val="24"/>
        </w:rPr>
        <w:t xml:space="preserve">In conclusion, the study underscores the importance of effective study habits in achieving academic success and provides a foundation for further research into strategies for improving undergraduate education in Lokoja.</w:t>
      </w:r>
    </w:p>
    <w:p>
      <w:pPr>
        <w:jc w:val="both"/>
        <w:spacing w:after="180" w:line="360" w:lineRule="auto"/>
      </w:pPr>
      <w:r>
        <w:rPr>
          <w:rFonts w:ascii="Times New Roman" w:hAnsi="Times New Roman" w:eastAsia="Times New Roman" w:cs="Times New Roman"/>
          <w:sz w:val="24"/>
          <w:szCs w:val="24"/>
        </w:rPr>
        <w:t xml:space="preserve">To further understand the dynamics of study habits and their impact on academic performance, additional analyses were conducted. These analyses focused on the interaction between demographic variables and study habits, as well as the potential moderating effects of these variables on academic performance.</w:t>
      </w:r>
    </w:p>
    <w:p>
      <w:pPr>
        <w:jc w:val="both"/>
        <w:spacing w:after="180" w:line="360" w:lineRule="auto"/>
      </w:pPr>
      <w:r>
        <w:rPr>
          <w:rFonts w:ascii="Times New Roman" w:hAnsi="Times New Roman" w:eastAsia="Times New Roman" w:cs="Times New Roman"/>
          <w:sz w:val="24"/>
          <w:szCs w:val="24"/>
        </w:rPr>
        <w:t xml:space="preserve">The interaction between gender and study habits was examined to determine if there were any significant differences in the effectiveness of study habits between male and female students. The results are presented in Table 4.4.</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Study Habit</w:t>
            </w:r>
          </w:p>
        </w:tc>
        <w:tc>
          <w:tcPr>
            <w:tcW w:w="2200" w:type="dxa"/>
            <w:noWrap/>
          </w:tcPr>
          <w:p>
            <w:pPr/>
            <w:r>
              <w:rPr>
                <w:rFonts w:ascii="Times New Roman" w:hAnsi="Times New Roman" w:eastAsia="Times New Roman" w:cs="Times New Roman"/>
                <w:b w:val="1"/>
                <w:bCs w:val="1"/>
              </w:rPr>
              <w:t xml:space="preserve">Gender</w:t>
            </w:r>
          </w:p>
        </w:tc>
        <w:tc>
          <w:tcPr>
            <w:tcW w:w="2200" w:type="dxa"/>
            <w:noWrap/>
          </w:tcPr>
          <w:p>
            <w:pPr/>
            <w:r>
              <w:rPr>
                <w:rFonts w:ascii="Times New Roman" w:hAnsi="Times New Roman" w:eastAsia="Times New Roman" w:cs="Times New Roman"/>
                <w:b w:val="1"/>
                <w:bCs w:val="1"/>
              </w:rPr>
              <w:t xml:space="preserve">Mean GPA</w:t>
            </w:r>
          </w:p>
        </w:tc>
        <w:tc>
          <w:tcPr>
            <w:tcW w:w="2200" w:type="dxa"/>
            <w:noWrap/>
          </w:tcPr>
          <w:p>
            <w:pPr/>
            <w:r>
              <w:rPr>
                <w:rFonts w:ascii="Times New Roman" w:hAnsi="Times New Roman" w:eastAsia="Times New Roman" w:cs="Times New Roman"/>
                <w:b w:val="1"/>
                <w:bCs w:val="1"/>
              </w:rPr>
              <w:t xml:space="preserve">Correlation Coefficient</w:t>
            </w:r>
          </w:p>
        </w:tc>
      </w:tr>
      <w:tr>
        <w:trPr/>
        <w:tc>
          <w:tcPr>
            <w:tcW w:w="2200" w:type="dxa"/>
            <w:noWrap/>
          </w:tcPr>
          <w:p>
            <w:pPr/>
            <w:r>
              <w:rPr>
                <w:rFonts w:ascii="Times New Roman" w:hAnsi="Times New Roman" w:eastAsia="Times New Roman" w:cs="Times New Roman"/>
              </w:rPr>
              <w:t xml:space="preserve">Regular Revision</w:t>
            </w:r>
          </w:p>
        </w:tc>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3.6</w:t>
            </w:r>
          </w:p>
        </w:tc>
        <w:tc>
          <w:tcPr>
            <w:tcW w:w="2200" w:type="dxa"/>
            <w:noWrap/>
          </w:tcPr>
          <w:p>
            <w:pPr/>
            <w:r>
              <w:rPr>
                <w:rFonts w:ascii="Times New Roman" w:hAnsi="Times New Roman" w:eastAsia="Times New Roman" w:cs="Times New Roman"/>
              </w:rPr>
              <w:t xml:space="preserve">0.68</w:t>
            </w:r>
          </w:p>
        </w:tc>
      </w:tr>
      <w:tr>
        <w:trPr/>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3.4</w:t>
            </w:r>
          </w:p>
        </w:tc>
        <w:tc>
          <w:tcPr>
            <w:tcW w:w="2200" w:type="dxa"/>
            <w:noWrap/>
          </w:tcPr>
          <w:p>
            <w:pPr/>
            <w:r>
              <w:rPr>
                <w:rFonts w:ascii="Times New Roman" w:hAnsi="Times New Roman" w:eastAsia="Times New Roman" w:cs="Times New Roman"/>
              </w:rPr>
              <w:t xml:space="preserve">0.62</w:t>
            </w:r>
          </w:p>
        </w:tc>
      </w:tr>
      <w:tr>
        <w:trPr/>
        <w:tc>
          <w:tcPr>
            <w:tcW w:w="2200" w:type="dxa"/>
            <w:noWrap/>
          </w:tcPr>
          <w:p>
            <w:pPr/>
            <w:r>
              <w:rPr>
                <w:rFonts w:ascii="Times New Roman" w:hAnsi="Times New Roman" w:eastAsia="Times New Roman" w:cs="Times New Roman"/>
              </w:rPr>
              <w:t xml:space="preserve">Group Study</w:t>
            </w:r>
          </w:p>
        </w:tc>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3.2</w:t>
            </w:r>
          </w:p>
        </w:tc>
        <w:tc>
          <w:tcPr>
            <w:tcW w:w="2200" w:type="dxa"/>
            <w:noWrap/>
          </w:tcPr>
          <w:p>
            <w:pPr/>
            <w:r>
              <w:rPr>
                <w:rFonts w:ascii="Times New Roman" w:hAnsi="Times New Roman" w:eastAsia="Times New Roman" w:cs="Times New Roman"/>
              </w:rPr>
              <w:t xml:space="preserve">0.50</w:t>
            </w:r>
          </w:p>
        </w:tc>
      </w:tr>
      <w:tr>
        <w:trPr/>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0.40</w:t>
            </w:r>
          </w:p>
        </w:tc>
      </w:tr>
      <w:tr>
        <w:trPr/>
        <w:tc>
          <w:tcPr>
            <w:tcW w:w="2200" w:type="dxa"/>
            <w:noWrap/>
          </w:tcPr>
          <w:p>
            <w:pPr/>
            <w:r>
              <w:rPr>
                <w:rFonts w:ascii="Times New Roman" w:hAnsi="Times New Roman" w:eastAsia="Times New Roman" w:cs="Times New Roman"/>
              </w:rPr>
              <w:t xml:space="preserve">Use of Library</w:t>
            </w:r>
          </w:p>
        </w:tc>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3.8</w:t>
            </w:r>
          </w:p>
        </w:tc>
        <w:tc>
          <w:tcPr>
            <w:tcW w:w="2200" w:type="dxa"/>
            <w:noWrap/>
          </w:tcPr>
          <w:p>
            <w:pPr/>
            <w:r>
              <w:rPr>
                <w:rFonts w:ascii="Times New Roman" w:hAnsi="Times New Roman" w:eastAsia="Times New Roman" w:cs="Times New Roman"/>
              </w:rPr>
              <w:t xml:space="preserve">0.72</w:t>
            </w:r>
          </w:p>
        </w:tc>
      </w:tr>
      <w:tr>
        <w:trPr/>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3.7</w:t>
            </w:r>
          </w:p>
        </w:tc>
        <w:tc>
          <w:tcPr>
            <w:tcW w:w="2200" w:type="dxa"/>
            <w:noWrap/>
          </w:tcPr>
          <w:p>
            <w:pPr/>
            <w:r>
              <w:rPr>
                <w:rFonts w:ascii="Times New Roman" w:hAnsi="Times New Roman" w:eastAsia="Times New Roman" w:cs="Times New Roman"/>
              </w:rPr>
              <w:t xml:space="preserve">0.68</w:t>
            </w:r>
          </w:p>
        </w:tc>
      </w:tr>
      <w:tr>
        <w:trPr/>
        <w:tc>
          <w:tcPr>
            <w:tcW w:w="2200" w:type="dxa"/>
            <w:noWrap/>
          </w:tcPr>
          <w:p>
            <w:pPr/>
            <w:r>
              <w:rPr>
                <w:rFonts w:ascii="Times New Roman" w:hAnsi="Times New Roman" w:eastAsia="Times New Roman" w:cs="Times New Roman"/>
              </w:rPr>
              <w:t xml:space="preserve">Online Resources</w:t>
            </w:r>
          </w:p>
        </w:tc>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0.60</w:t>
            </w:r>
          </w:p>
        </w:tc>
      </w:tr>
      <w:tr>
        <w:trPr/>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3.3</w:t>
            </w:r>
          </w:p>
        </w:tc>
        <w:tc>
          <w:tcPr>
            <w:tcW w:w="2200" w:type="dxa"/>
            <w:noWrap/>
          </w:tcPr>
          <w:p>
            <w:pPr/>
            <w:r>
              <w:rPr>
                <w:rFonts w:ascii="Times New Roman" w:hAnsi="Times New Roman" w:eastAsia="Times New Roman" w:cs="Times New Roman"/>
              </w:rPr>
              <w:t xml:space="preserve">0.55</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analysis reveals that there are slight differences in the effectiveness of study habits between male and female students. Regular revision appears to be more effective for male students, with a mean GPA of 3.6 and a correlation coefficient of 0.68, compared to a mean GPA of 3.4 and a correlation coefficient of 0.62 for female students. This suggests that male students may benefit more from consistent revision practices. Similarly, the use of the library is slightly more effective for male students, with a mean GPA of 3.8 and a correlation coefficient of 0.72, compared to a mean GPA of 3.7 and a correlation coefficient of 0.68 for female students. These findings indicate that while study habits are generally effective for both genders, there may be gender-specific preferences or strategies that enhance their impact on academic performance.</w:t>
      </w:r>
    </w:p>
    <w:p>
      <w:pPr>
        <w:jc w:val="both"/>
        <w:spacing w:after="180" w:line="360" w:lineRule="auto"/>
      </w:pPr>
      <w:r>
        <w:rPr>
          <w:rFonts w:ascii="Times New Roman" w:hAnsi="Times New Roman" w:eastAsia="Times New Roman" w:cs="Times New Roman"/>
          <w:sz w:val="24"/>
          <w:szCs w:val="24"/>
        </w:rPr>
        <w:t xml:space="preserve">The potential moderating effects of age on the relationship between study habits and academic performance were also explored. The results are presented in Table 4.5.</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Study Habit</w:t>
            </w:r>
          </w:p>
        </w:tc>
        <w:tc>
          <w:tcPr>
            <w:tcW w:w="2200" w:type="dxa"/>
            <w:noWrap/>
          </w:tcPr>
          <w:p>
            <w:pPr/>
            <w:r>
              <w:rPr>
                <w:rFonts w:ascii="Times New Roman" w:hAnsi="Times New Roman" w:eastAsia="Times New Roman" w:cs="Times New Roman"/>
                <w:b w:val="1"/>
                <w:bCs w:val="1"/>
              </w:rPr>
              <w:t xml:space="preserve">Age Group</w:t>
            </w:r>
          </w:p>
        </w:tc>
        <w:tc>
          <w:tcPr>
            <w:tcW w:w="2200" w:type="dxa"/>
            <w:noWrap/>
          </w:tcPr>
          <w:p>
            <w:pPr/>
            <w:r>
              <w:rPr>
                <w:rFonts w:ascii="Times New Roman" w:hAnsi="Times New Roman" w:eastAsia="Times New Roman" w:cs="Times New Roman"/>
                <w:b w:val="1"/>
                <w:bCs w:val="1"/>
              </w:rPr>
              <w:t xml:space="preserve">Mean GPA</w:t>
            </w:r>
          </w:p>
        </w:tc>
        <w:tc>
          <w:tcPr>
            <w:tcW w:w="2200" w:type="dxa"/>
            <w:noWrap/>
          </w:tcPr>
          <w:p>
            <w:pPr/>
            <w:r>
              <w:rPr>
                <w:rFonts w:ascii="Times New Roman" w:hAnsi="Times New Roman" w:eastAsia="Times New Roman" w:cs="Times New Roman"/>
                <w:b w:val="1"/>
                <w:bCs w:val="1"/>
              </w:rPr>
              <w:t xml:space="preserve">Correlation Coefficient</w:t>
            </w:r>
          </w:p>
        </w:tc>
      </w:tr>
      <w:tr>
        <w:trPr/>
        <w:tc>
          <w:tcPr>
            <w:tcW w:w="2200" w:type="dxa"/>
            <w:noWrap/>
          </w:tcPr>
          <w:p>
            <w:pPr/>
            <w:r>
              <w:rPr>
                <w:rFonts w:ascii="Times New Roman" w:hAnsi="Times New Roman" w:eastAsia="Times New Roman" w:cs="Times New Roman"/>
              </w:rPr>
              <w:t xml:space="preserve">Regular Revision</w:t>
            </w:r>
          </w:p>
        </w:tc>
        <w:tc>
          <w:tcPr>
            <w:tcW w:w="2200" w:type="dxa"/>
            <w:noWrap/>
          </w:tcPr>
          <w:p>
            <w:pPr/>
            <w:r>
              <w:rPr>
                <w:rFonts w:ascii="Times New Roman" w:hAnsi="Times New Roman" w:eastAsia="Times New Roman" w:cs="Times New Roman"/>
              </w:rPr>
              <w:t xml:space="preserve">18-20</w:t>
            </w:r>
          </w:p>
        </w:tc>
        <w:tc>
          <w:tcPr>
            <w:tcW w:w="2200" w:type="dxa"/>
            <w:noWrap/>
          </w:tcPr>
          <w:p>
            <w:pPr/>
            <w:r>
              <w:rPr>
                <w:rFonts w:ascii="Times New Roman" w:hAnsi="Times New Roman" w:eastAsia="Times New Roman" w:cs="Times New Roman"/>
              </w:rPr>
              <w:t xml:space="preserve">3.4</w:t>
            </w:r>
          </w:p>
        </w:tc>
        <w:tc>
          <w:tcPr>
            <w:tcW w:w="2200" w:type="dxa"/>
            <w:noWrap/>
          </w:tcPr>
          <w:p>
            <w:pPr/>
            <w:r>
              <w:rPr>
                <w:rFonts w:ascii="Times New Roman" w:hAnsi="Times New Roman" w:eastAsia="Times New Roman" w:cs="Times New Roman"/>
              </w:rPr>
              <w:t xml:space="preserve">0.60</w:t>
            </w:r>
          </w:p>
        </w:tc>
      </w:tr>
      <w:tr>
        <w:trPr/>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21-23</w:t>
            </w:r>
          </w:p>
        </w:tc>
        <w:tc>
          <w:tcPr>
            <w:tcW w:w="2200" w:type="dxa"/>
            <w:noWrap/>
          </w:tcPr>
          <w:p>
            <w:pPr/>
            <w:r>
              <w:rPr>
                <w:rFonts w:ascii="Times New Roman" w:hAnsi="Times New Roman" w:eastAsia="Times New Roman" w:cs="Times New Roman"/>
              </w:rPr>
              <w:t xml:space="preserve">3.6</w:t>
            </w:r>
          </w:p>
        </w:tc>
        <w:tc>
          <w:tcPr>
            <w:tcW w:w="2200" w:type="dxa"/>
            <w:noWrap/>
          </w:tcPr>
          <w:p>
            <w:pPr/>
            <w:r>
              <w:rPr>
                <w:rFonts w:ascii="Times New Roman" w:hAnsi="Times New Roman" w:eastAsia="Times New Roman" w:cs="Times New Roman"/>
              </w:rPr>
              <w:t xml:space="preserve">0.65</w:t>
            </w:r>
          </w:p>
        </w:tc>
      </w:tr>
      <w:tr>
        <w:trPr/>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24-26</w:t>
            </w:r>
          </w:p>
        </w:tc>
        <w:tc>
          <w:tcPr>
            <w:tcW w:w="2200" w:type="dxa"/>
            <w:noWrap/>
          </w:tcPr>
          <w:p>
            <w:pPr/>
            <w:r>
              <w:rPr>
                <w:rFonts w:ascii="Times New Roman" w:hAnsi="Times New Roman" w:eastAsia="Times New Roman" w:cs="Times New Roman"/>
              </w:rPr>
              <w:t xml:space="preserve">3.7</w:t>
            </w:r>
          </w:p>
        </w:tc>
        <w:tc>
          <w:tcPr>
            <w:tcW w:w="2200" w:type="dxa"/>
            <w:noWrap/>
          </w:tcPr>
          <w:p>
            <w:pPr/>
            <w:r>
              <w:rPr>
                <w:rFonts w:ascii="Times New Roman" w:hAnsi="Times New Roman" w:eastAsia="Times New Roman" w:cs="Times New Roman"/>
              </w:rPr>
              <w:t xml:space="preserve">0.70</w:t>
            </w:r>
          </w:p>
        </w:tc>
      </w:tr>
      <w:tr>
        <w:trPr/>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27+</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0.62</w:t>
            </w:r>
          </w:p>
        </w:tc>
      </w:tr>
      <w:tr>
        <w:trPr/>
        <w:tc>
          <w:tcPr>
            <w:tcW w:w="2200" w:type="dxa"/>
            <w:noWrap/>
          </w:tcPr>
          <w:p>
            <w:pPr/>
            <w:r>
              <w:rPr>
                <w:rFonts w:ascii="Times New Roman" w:hAnsi="Times New Roman" w:eastAsia="Times New Roman" w:cs="Times New Roman"/>
              </w:rPr>
              <w:t xml:space="preserve">Group Study</w:t>
            </w:r>
          </w:p>
        </w:tc>
        <w:tc>
          <w:tcPr>
            <w:tcW w:w="2200" w:type="dxa"/>
            <w:noWrap/>
          </w:tcPr>
          <w:p>
            <w:pPr/>
            <w:r>
              <w:rPr>
                <w:rFonts w:ascii="Times New Roman" w:hAnsi="Times New Roman" w:eastAsia="Times New Roman" w:cs="Times New Roman"/>
              </w:rPr>
              <w:t xml:space="preserve">18-20</w:t>
            </w:r>
          </w:p>
        </w:tc>
        <w:tc>
          <w:tcPr>
            <w:tcW w:w="2200" w:type="dxa"/>
            <w:noWrap/>
          </w:tcPr>
          <w:p>
            <w:pPr/>
            <w:r>
              <w:rPr>
                <w:rFonts w:ascii="Times New Roman" w:hAnsi="Times New Roman" w:eastAsia="Times New Roman" w:cs="Times New Roman"/>
              </w:rPr>
              <w:t xml:space="preserve">3.1</w:t>
            </w:r>
          </w:p>
        </w:tc>
        <w:tc>
          <w:tcPr>
            <w:tcW w:w="2200" w:type="dxa"/>
            <w:noWrap/>
          </w:tcPr>
          <w:p>
            <w:pPr/>
            <w:r>
              <w:rPr>
                <w:rFonts w:ascii="Times New Roman" w:hAnsi="Times New Roman" w:eastAsia="Times New Roman" w:cs="Times New Roman"/>
              </w:rPr>
              <w:t xml:space="preserve">0.45</w:t>
            </w:r>
          </w:p>
        </w:tc>
      </w:tr>
      <w:tr>
        <w:trPr/>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21-23</w:t>
            </w:r>
          </w:p>
        </w:tc>
        <w:tc>
          <w:tcPr>
            <w:tcW w:w="2200" w:type="dxa"/>
            <w:noWrap/>
          </w:tcPr>
          <w:p>
            <w:pPr/>
            <w:r>
              <w:rPr>
                <w:rFonts w:ascii="Times New Roman" w:hAnsi="Times New Roman" w:eastAsia="Times New Roman" w:cs="Times New Roman"/>
              </w:rPr>
              <w:t xml:space="preserve">3.3</w:t>
            </w:r>
          </w:p>
        </w:tc>
        <w:tc>
          <w:tcPr>
            <w:tcW w:w="2200" w:type="dxa"/>
            <w:noWrap/>
          </w:tcPr>
          <w:p>
            <w:pPr/>
            <w:r>
              <w:rPr>
                <w:rFonts w:ascii="Times New Roman" w:hAnsi="Times New Roman" w:eastAsia="Times New Roman" w:cs="Times New Roman"/>
              </w:rPr>
              <w:t xml:space="preserve">0.50</w:t>
            </w:r>
          </w:p>
        </w:tc>
      </w:tr>
      <w:tr>
        <w:trPr/>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24-26</w:t>
            </w:r>
          </w:p>
        </w:tc>
        <w:tc>
          <w:tcPr>
            <w:tcW w:w="2200" w:type="dxa"/>
            <w:noWrap/>
          </w:tcPr>
          <w:p>
            <w:pPr/>
            <w:r>
              <w:rPr>
                <w:rFonts w:ascii="Times New Roman" w:hAnsi="Times New Roman" w:eastAsia="Times New Roman" w:cs="Times New Roman"/>
              </w:rPr>
              <w:t xml:space="preserve">3.4</w:t>
            </w:r>
          </w:p>
        </w:tc>
        <w:tc>
          <w:tcPr>
            <w:tcW w:w="2200" w:type="dxa"/>
            <w:noWrap/>
          </w:tcPr>
          <w:p>
            <w:pPr/>
            <w:r>
              <w:rPr>
                <w:rFonts w:ascii="Times New Roman" w:hAnsi="Times New Roman" w:eastAsia="Times New Roman" w:cs="Times New Roman"/>
              </w:rPr>
              <w:t xml:space="preserve">0.55</w:t>
            </w:r>
          </w:p>
        </w:tc>
      </w:tr>
      <w:tr>
        <w:trPr/>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27+</w:t>
            </w:r>
          </w:p>
        </w:tc>
        <w:tc>
          <w:tcPr>
            <w:tcW w:w="2200" w:type="dxa"/>
            <w:noWrap/>
          </w:tcPr>
          <w:p>
            <w:pPr/>
            <w:r>
              <w:rPr>
                <w:rFonts w:ascii="Times New Roman" w:hAnsi="Times New Roman" w:eastAsia="Times New Roman" w:cs="Times New Roman"/>
              </w:rPr>
              <w:t xml:space="preserve">3.2</w:t>
            </w:r>
          </w:p>
        </w:tc>
        <w:tc>
          <w:tcPr>
            <w:tcW w:w="2200" w:type="dxa"/>
            <w:noWrap/>
          </w:tcPr>
          <w:p>
            <w:pPr/>
            <w:r>
              <w:rPr>
                <w:rFonts w:ascii="Times New Roman" w:hAnsi="Times New Roman" w:eastAsia="Times New Roman" w:cs="Times New Roman"/>
              </w:rPr>
              <w:t xml:space="preserve">0.48</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analysis indicates that age may moderate the effectiveness of study habits on academic performance. Regular revision is most effective for students aged 24-26, with a mean GPA of 3.7 and a correlation coefficient of 0.70. This suggests that older students may have developed more effective revision strategies or have a greater appreciation for the importance of consistent study. Group study is also more effective for students aged 24-26, with a mean GPA of 3.4 and a correlation coefficient of 0.55. These findings imply that as students mature, they may become more adept at utilizing study habits to enhance their academic performance. The results highlight the need for age-specific interventions and support to maximize the benefits of study habits for students at different stages of their academic journey.</w:t>
      </w:r>
    </w:p>
    <w:p>
      <w:pPr>
        <w:jc w:val="both"/>
        <w:spacing w:after="180" w:line="360" w:lineRule="auto"/>
      </w:pPr>
      <w:r>
        <w:rPr>
          <w:rFonts w:ascii="Times New Roman" w:hAnsi="Times New Roman" w:eastAsia="Times New Roman" w:cs="Times New Roman"/>
          <w:sz w:val="24"/>
          <w:szCs w:val="24"/>
        </w:rPr>
        <w:t xml:space="preserve">The data presented in this chapter provides a comprehensive analysis of the impact of study habits on academic performance among undergraduates in Lokoja. The findings underscore the importance of effective study habits, such as regular revision and library use, in achieving academic success. The analyses also reveal the influence of demographic factors, such as gender and age, on the effectiveness of study habits. These insights offer valuable guidance for students, educators, and policymakers in developing strategies to enhance academic performance and support undergraduate education in Lokoja.</w:t>
      </w:r>
    </w:p>
    <w:p>
      <w:pPr>
        <w:jc w:val="both"/>
        <w:spacing w:after="180" w:line="360" w:lineRule="auto"/>
      </w:pPr>
      <w:r>
        <w:rPr>
          <w:rFonts w:ascii="Times New Roman" w:hAnsi="Times New Roman" w:eastAsia="Times New Roman" w:cs="Times New Roman"/>
          <w:sz w:val="24"/>
          <w:szCs w:val="24"/>
        </w:rPr>
        <w:t xml:space="preserve">To further explore the relationship between study habits and academic performance, hypothesis testing was conducted using correlation analysis. The hypothesis tested was:</w:t>
      </w:r>
    </w:p>
    <w:p>
      <w:pPr>
        <w:jc w:val="both"/>
        <w:spacing w:after="180" w:line="360" w:lineRule="auto"/>
      </w:pPr>
      <w:r>
        <w:rPr>
          <w:rFonts w:ascii="Times New Roman" w:hAnsi="Times New Roman" w:eastAsia="Times New Roman" w:cs="Times New Roman"/>
          <w:sz w:val="24"/>
          <w:szCs w:val="24"/>
        </w:rPr>
        <w:t xml:space="preserve">H0: There is no significant correlation between study habits and academic performance among undergraduates in Lokoja.</w:t>
      </w:r>
    </w:p>
    <w:p>
      <w:pPr>
        <w:jc w:val="both"/>
        <w:spacing w:after="180" w:line="360" w:lineRule="auto"/>
      </w:pPr>
      <w:r>
        <w:rPr>
          <w:rFonts w:ascii="Times New Roman" w:hAnsi="Times New Roman" w:eastAsia="Times New Roman" w:cs="Times New Roman"/>
          <w:sz w:val="24"/>
          <w:szCs w:val="24"/>
        </w:rPr>
        <w:t xml:space="preserve">H1: There is a significant correlation between study habits and academic performance among undergraduates in Lokoja.</w:t>
      </w:r>
    </w:p>
    <w:p>
      <w:pPr>
        <w:jc w:val="both"/>
        <w:spacing w:after="180" w:line="360" w:lineRule="auto"/>
      </w:pPr>
      <w:r>
        <w:rPr>
          <w:rFonts w:ascii="Times New Roman" w:hAnsi="Times New Roman" w:eastAsia="Times New Roman" w:cs="Times New Roman"/>
          <w:sz w:val="24"/>
          <w:szCs w:val="24"/>
        </w:rPr>
        <w:t xml:space="preserve">The results of the correlation analysis are presented in Table 4.6.</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Study Habit</w:t>
            </w:r>
          </w:p>
        </w:tc>
        <w:tc>
          <w:tcPr>
            <w:tcW w:w="2200" w:type="dxa"/>
            <w:noWrap/>
          </w:tcPr>
          <w:p>
            <w:pPr/>
            <w:r>
              <w:rPr>
                <w:rFonts w:ascii="Times New Roman" w:hAnsi="Times New Roman" w:eastAsia="Times New Roman" w:cs="Times New Roman"/>
                <w:b w:val="1"/>
                <w:bCs w:val="1"/>
              </w:rPr>
              <w:t xml:space="preserve">Correlation Coefficient</w:t>
            </w:r>
          </w:p>
        </w:tc>
        <w:tc>
          <w:tcPr>
            <w:tcW w:w="2200" w:type="dxa"/>
            <w:noWrap/>
          </w:tcPr>
          <w:p>
            <w:pPr/>
            <w:r>
              <w:rPr>
                <w:rFonts w:ascii="Times New Roman" w:hAnsi="Times New Roman" w:eastAsia="Times New Roman" w:cs="Times New Roman"/>
                <w:b w:val="1"/>
                <w:bCs w:val="1"/>
              </w:rPr>
              <w:t xml:space="preserve">Significance (p-value)</w:t>
            </w:r>
          </w:p>
        </w:tc>
      </w:tr>
      <w:tr>
        <w:trPr/>
        <w:tc>
          <w:tcPr>
            <w:tcW w:w="2200" w:type="dxa"/>
            <w:noWrap/>
          </w:tcPr>
          <w:p>
            <w:pPr/>
            <w:r>
              <w:rPr>
                <w:rFonts w:ascii="Times New Roman" w:hAnsi="Times New Roman" w:eastAsia="Times New Roman" w:cs="Times New Roman"/>
              </w:rPr>
              <w:t xml:space="preserve">Regular Revision</w:t>
            </w:r>
          </w:p>
        </w:tc>
        <w:tc>
          <w:tcPr>
            <w:tcW w:w="2200" w:type="dxa"/>
            <w:noWrap/>
          </w:tcPr>
          <w:p>
            <w:pPr/>
            <w:r>
              <w:rPr>
                <w:rFonts w:ascii="Times New Roman" w:hAnsi="Times New Roman" w:eastAsia="Times New Roman" w:cs="Times New Roman"/>
              </w:rPr>
              <w:t xml:space="preserve">0.68</w:t>
            </w:r>
          </w:p>
        </w:tc>
        <w:tc>
          <w:tcPr>
            <w:tcW w:w="2200" w:type="dxa"/>
            <w:noWrap/>
          </w:tcPr>
          <w:p>
            <w:pPr/>
            <w:r>
              <w:rPr>
                <w:rFonts w:ascii="Times New Roman" w:hAnsi="Times New Roman" w:eastAsia="Times New Roman" w:cs="Times New Roman"/>
              </w:rPr>
              <w:t xml:space="preserve">0.001</w:t>
            </w:r>
          </w:p>
        </w:tc>
      </w:tr>
      <w:tr>
        <w:trPr/>
        <w:tc>
          <w:tcPr>
            <w:tcW w:w="2200" w:type="dxa"/>
            <w:noWrap/>
          </w:tcPr>
          <w:p>
            <w:pPr/>
            <w:r>
              <w:rPr>
                <w:rFonts w:ascii="Times New Roman" w:hAnsi="Times New Roman" w:eastAsia="Times New Roman" w:cs="Times New Roman"/>
              </w:rPr>
              <w:t xml:space="preserve">Group Study</w:t>
            </w:r>
          </w:p>
        </w:tc>
        <w:tc>
          <w:tcPr>
            <w:tcW w:w="2200" w:type="dxa"/>
            <w:noWrap/>
          </w:tcPr>
          <w:p>
            <w:pPr/>
            <w:r>
              <w:rPr>
                <w:rFonts w:ascii="Times New Roman" w:hAnsi="Times New Roman" w:eastAsia="Times New Roman" w:cs="Times New Roman"/>
              </w:rPr>
              <w:t xml:space="preserve">0.52</w:t>
            </w:r>
          </w:p>
        </w:tc>
        <w:tc>
          <w:tcPr>
            <w:tcW w:w="2200" w:type="dxa"/>
            <w:noWrap/>
          </w:tcPr>
          <w:p>
            <w:pPr/>
            <w:r>
              <w:rPr>
                <w:rFonts w:ascii="Times New Roman" w:hAnsi="Times New Roman" w:eastAsia="Times New Roman" w:cs="Times New Roman"/>
              </w:rPr>
              <w:t xml:space="preserve">0.015</w:t>
            </w:r>
          </w:p>
        </w:tc>
      </w:tr>
      <w:tr>
        <w:trPr/>
        <w:tc>
          <w:tcPr>
            <w:tcW w:w="2200" w:type="dxa"/>
            <w:noWrap/>
          </w:tcPr>
          <w:p>
            <w:pPr/>
            <w:r>
              <w:rPr>
                <w:rFonts w:ascii="Times New Roman" w:hAnsi="Times New Roman" w:eastAsia="Times New Roman" w:cs="Times New Roman"/>
              </w:rPr>
              <w:t xml:space="preserve">Use of Library</w:t>
            </w:r>
          </w:p>
        </w:tc>
        <w:tc>
          <w:tcPr>
            <w:tcW w:w="2200" w:type="dxa"/>
            <w:noWrap/>
          </w:tcPr>
          <w:p>
            <w:pPr/>
            <w:r>
              <w:rPr>
                <w:rFonts w:ascii="Times New Roman" w:hAnsi="Times New Roman" w:eastAsia="Times New Roman" w:cs="Times New Roman"/>
              </w:rPr>
              <w:t xml:space="preserve">0.70</w:t>
            </w:r>
          </w:p>
        </w:tc>
        <w:tc>
          <w:tcPr>
            <w:tcW w:w="2200" w:type="dxa"/>
            <w:noWrap/>
          </w:tcPr>
          <w:p>
            <w:pPr/>
            <w:r>
              <w:rPr>
                <w:rFonts w:ascii="Times New Roman" w:hAnsi="Times New Roman" w:eastAsia="Times New Roman" w:cs="Times New Roman"/>
              </w:rPr>
              <w:t xml:space="preserve">0.000</w:t>
            </w:r>
          </w:p>
        </w:tc>
      </w:tr>
      <w:tr>
        <w:trPr/>
        <w:tc>
          <w:tcPr>
            <w:tcW w:w="2200" w:type="dxa"/>
            <w:noWrap/>
          </w:tcPr>
          <w:p>
            <w:pPr/>
            <w:r>
              <w:rPr>
                <w:rFonts w:ascii="Times New Roman" w:hAnsi="Times New Roman" w:eastAsia="Times New Roman" w:cs="Times New Roman"/>
              </w:rPr>
              <w:t xml:space="preserve">Online Resources</w:t>
            </w:r>
          </w:p>
        </w:tc>
        <w:tc>
          <w:tcPr>
            <w:tcW w:w="2200" w:type="dxa"/>
            <w:noWrap/>
          </w:tcPr>
          <w:p>
            <w:pPr/>
            <w:r>
              <w:rPr>
                <w:rFonts w:ascii="Times New Roman" w:hAnsi="Times New Roman" w:eastAsia="Times New Roman" w:cs="Times New Roman"/>
              </w:rPr>
              <w:t xml:space="preserve">0.58</w:t>
            </w:r>
          </w:p>
        </w:tc>
        <w:tc>
          <w:tcPr>
            <w:tcW w:w="2200" w:type="dxa"/>
            <w:noWrap/>
          </w:tcPr>
          <w:p>
            <w:pPr/>
            <w:r>
              <w:rPr>
                <w:rFonts w:ascii="Times New Roman" w:hAnsi="Times New Roman" w:eastAsia="Times New Roman" w:cs="Times New Roman"/>
              </w:rPr>
              <w:t xml:space="preserve">0.010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testing results indicate that there is a significant correlation between study habits and academic performance among undergraduates in Lokoja. The correlation coefficients for all study habits are positive and statistically significant, with p-values less than 0.05. Regular revision shows a strong correlation with academic performance (r = 0.68, p = 0.001), suggesting that students who engage in consistent revision tend to achieve higher academic outcomes. Similarly, the use of the library exhibits a strong positive correlation (r = 0.70, p = 0.000), highlighting the importance of utilizing library resources for academic success. Group study and online resources also show significant correlations (r = 0.52, p = 0.015 and r = 0.58, p = 0.010, respectively), indicating that collaborative learning and digital resources contribute positively to academic performance. These findings reject the null hypothesis and confirm that effective study habits are crucial for enhancing academic achievement among undergraduates in Lokoja.</w:t>
      </w:r>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impact of study habits on academic performance among undergraduates in Lokoja. The analysis reveals that regular revision and the use of library resources are the most effective study habits, significantly correlating with higher academic performance. This underscores the importance of consistent study practices and access to academic resources in achieving educational success.</w:t>
      </w:r>
    </w:p>
    <w:p>
      <w:pPr>
        <w:jc w:val="both"/>
        <w:spacing w:after="180" w:line="360" w:lineRule="auto"/>
      </w:pPr>
      <w:r>
        <w:rPr>
          <w:rFonts w:ascii="Times New Roman" w:hAnsi="Times New Roman" w:eastAsia="Times New Roman" w:cs="Times New Roman"/>
          <w:sz w:val="24"/>
          <w:szCs w:val="24"/>
        </w:rPr>
        <w:t xml:space="preserve">The demographic analysis highlights the role of gender and age in moderating the effectiveness of study habits. Male students appear to benefit more from regular revision and library use, while older students (aged 24-26) demonstrate higher academic performance through effective study strategies. These findings suggest that tailored interventions and support systems are necessary to address the unique needs of different student groups.</w:t>
      </w:r>
    </w:p>
    <w:p>
      <w:pPr>
        <w:jc w:val="both"/>
        <w:spacing w:after="180" w:line="360" w:lineRule="auto"/>
      </w:pPr>
      <w:r>
        <w:rPr>
          <w:rFonts w:ascii="Times New Roman" w:hAnsi="Times New Roman" w:eastAsia="Times New Roman" w:cs="Times New Roman"/>
          <w:sz w:val="24"/>
          <w:szCs w:val="24"/>
        </w:rPr>
        <w:t xml:space="preserve">The hypothesis testing confirms the significant correlation between study habits and academic performance, reinforcing the need for students to adopt effective study practices. Educators and policymakers should focus on promoting study habits that enhance learning outcomes, such as encouraging regular revision and improving access to library resources.</w:t>
      </w:r>
    </w:p>
    <w:p>
      <w:pPr>
        <w:jc w:val="both"/>
        <w:spacing w:after="180" w:line="360" w:lineRule="auto"/>
      </w:pPr>
      <w:r>
        <w:rPr>
          <w:rFonts w:ascii="Times New Roman" w:hAnsi="Times New Roman" w:eastAsia="Times New Roman" w:cs="Times New Roman"/>
          <w:sz w:val="24"/>
          <w:szCs w:val="24"/>
        </w:rPr>
        <w:t xml:space="preserve">Overall, this study contributes to the understanding of how study habits influence academic performance and provides practical recommendations for improving educational outcomes among undergraduates in Lokoja. The insights gained from this research can inform strategies to support students in developing effective study habits and achieving academic success.</w:t>
      </w:r>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impact of study habits on academic performance among undergraduates in Lokoja. The analysis reveals that regular revision and the use of library resources are the most effective study habits, significantly correlating with higher academic performance. This underscores the importance of consistent study practices and access to academic resources in achieving educational success.</w:t>
      </w:r>
    </w:p>
    <w:p>
      <w:pPr>
        <w:jc w:val="both"/>
        <w:spacing w:after="180" w:line="360" w:lineRule="auto"/>
      </w:pPr>
      <w:r>
        <w:rPr>
          <w:rFonts w:ascii="Times New Roman" w:hAnsi="Times New Roman" w:eastAsia="Times New Roman" w:cs="Times New Roman"/>
          <w:sz w:val="24"/>
          <w:szCs w:val="24"/>
        </w:rPr>
        <w:t xml:space="preserve">The demographic analysis highlights the role of gender and age in moderating the effectiveness of study habits. Male students appear to benefit more from regular revision and library use, while older students (aged 24-26) demonstrate higher academic performance through effective study strategies. These findings suggest that tailored interventions and support systems are necessary to address the unique needs of different student groups.</w:t>
      </w:r>
    </w:p>
    <w:p>
      <w:pPr>
        <w:jc w:val="both"/>
        <w:spacing w:after="180" w:line="360" w:lineRule="auto"/>
      </w:pPr>
      <w:r>
        <w:rPr>
          <w:rFonts w:ascii="Times New Roman" w:hAnsi="Times New Roman" w:eastAsia="Times New Roman" w:cs="Times New Roman"/>
          <w:sz w:val="24"/>
          <w:szCs w:val="24"/>
        </w:rPr>
        <w:t xml:space="preserve">The hypothesis testing confirms the significant correlation between study habits and academic performance, reinforcing the need for students to adopt effective study practices. Educators and policymakers should focus on promoting study habits that enhance learning outcomes, such as encouraging regular revision and improving access to library resources.</w:t>
      </w:r>
    </w:p>
    <w:p>
      <w:pPr>
        <w:jc w:val="both"/>
        <w:spacing w:after="180" w:line="360" w:lineRule="auto"/>
      </w:pPr>
      <w:r>
        <w:rPr>
          <w:rFonts w:ascii="Times New Roman" w:hAnsi="Times New Roman" w:eastAsia="Times New Roman" w:cs="Times New Roman"/>
          <w:sz w:val="24"/>
          <w:szCs w:val="24"/>
        </w:rPr>
        <w:t xml:space="preserve">Overall, this study contributes to the understanding of how study habits influence academic performance and provides practical recommendations for improving educational outcomes among undergraduates in Lokoja. The insights gained from this research can inform strategies to support students in developing effective study habits and achieving academic success.</w:t>
      </w:r>
    </w:p>
    <w:p>
      <w:pPr>
        <w:jc w:val="both"/>
        <w:spacing w:after="180" w:line="360" w:lineRule="auto"/>
      </w:pPr>
      <w:r>
        <w:rPr>
          <w:rFonts w:ascii="Times New Roman" w:hAnsi="Times New Roman" w:eastAsia="Times New Roman" w:cs="Times New Roman"/>
          <w:sz w:val="24"/>
          <w:szCs w:val="24"/>
        </w:rPr>
        <w:t xml:space="preserve">To further understand the nuances of study habits and their impact on academic performance, additional analyses were conducted. These analyses focused on the interaction between different study habits and demographic variables such as gender and age.</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Study Habit</w:t>
            </w:r>
          </w:p>
        </w:tc>
        <w:tc>
          <w:tcPr>
            <w:tcW w:w="2200" w:type="dxa"/>
            <w:noWrap/>
          </w:tcPr>
          <w:p>
            <w:pPr/>
            <w:r>
              <w:rPr>
                <w:rFonts w:ascii="Times New Roman" w:hAnsi="Times New Roman" w:eastAsia="Times New Roman" w:cs="Times New Roman"/>
                <w:b w:val="1"/>
                <w:bCs w:val="1"/>
              </w:rPr>
              <w:t xml:space="preserve">Male (Mean GPA)</w:t>
            </w:r>
          </w:p>
        </w:tc>
        <w:tc>
          <w:tcPr>
            <w:tcW w:w="2200" w:type="dxa"/>
            <w:noWrap/>
          </w:tcPr>
          <w:p>
            <w:pPr/>
            <w:r>
              <w:rPr>
                <w:rFonts w:ascii="Times New Roman" w:hAnsi="Times New Roman" w:eastAsia="Times New Roman" w:cs="Times New Roman"/>
                <w:b w:val="1"/>
                <w:bCs w:val="1"/>
              </w:rPr>
              <w:t xml:space="preserve">Female (Mean GPA)</w:t>
            </w:r>
          </w:p>
        </w:tc>
        <w:tc>
          <w:tcPr>
            <w:tcW w:w="2200" w:type="dxa"/>
            <w:noWrap/>
          </w:tcPr>
          <w:p>
            <w:pPr/>
            <w:r>
              <w:rPr>
                <w:rFonts w:ascii="Times New Roman" w:hAnsi="Times New Roman" w:eastAsia="Times New Roman" w:cs="Times New Roman"/>
                <w:b w:val="1"/>
                <w:bCs w:val="1"/>
              </w:rPr>
              <w:t xml:space="preserve">Correlation Coefficient (Male)</w:t>
            </w:r>
          </w:p>
        </w:tc>
        <w:tc>
          <w:tcPr>
            <w:tcW w:w="2200" w:type="dxa"/>
            <w:noWrap/>
          </w:tcPr>
          <w:p>
            <w:pPr/>
            <w:r>
              <w:rPr>
                <w:rFonts w:ascii="Times New Roman" w:hAnsi="Times New Roman" w:eastAsia="Times New Roman" w:cs="Times New Roman"/>
                <w:b w:val="1"/>
                <w:bCs w:val="1"/>
              </w:rPr>
              <w:t xml:space="preserve">Correlation Coefficient (Female)</w:t>
            </w:r>
          </w:p>
        </w:tc>
      </w:tr>
      <w:tr>
        <w:trPr/>
        <w:tc>
          <w:tcPr>
            <w:tcW w:w="2200" w:type="dxa"/>
            <w:noWrap/>
          </w:tcPr>
          <w:p>
            <w:pPr/>
            <w:r>
              <w:rPr>
                <w:rFonts w:ascii="Times New Roman" w:hAnsi="Times New Roman" w:eastAsia="Times New Roman" w:cs="Times New Roman"/>
              </w:rPr>
              <w:t xml:space="preserve">Regular Revision</w:t>
            </w:r>
          </w:p>
        </w:tc>
        <w:tc>
          <w:tcPr>
            <w:tcW w:w="2200" w:type="dxa"/>
            <w:noWrap/>
          </w:tcPr>
          <w:p>
            <w:pPr/>
            <w:r>
              <w:rPr>
                <w:rFonts w:ascii="Times New Roman" w:hAnsi="Times New Roman" w:eastAsia="Times New Roman" w:cs="Times New Roman"/>
              </w:rPr>
              <w:t xml:space="preserve">3.6</w:t>
            </w:r>
          </w:p>
        </w:tc>
        <w:tc>
          <w:tcPr>
            <w:tcW w:w="2200" w:type="dxa"/>
            <w:noWrap/>
          </w:tcPr>
          <w:p>
            <w:pPr/>
            <w:r>
              <w:rPr>
                <w:rFonts w:ascii="Times New Roman" w:hAnsi="Times New Roman" w:eastAsia="Times New Roman" w:cs="Times New Roman"/>
              </w:rPr>
              <w:t xml:space="preserve">3.4</w:t>
            </w:r>
          </w:p>
        </w:tc>
        <w:tc>
          <w:tcPr>
            <w:tcW w:w="2200" w:type="dxa"/>
            <w:noWrap/>
          </w:tcPr>
          <w:p>
            <w:pPr/>
            <w:r>
              <w:rPr>
                <w:rFonts w:ascii="Times New Roman" w:hAnsi="Times New Roman" w:eastAsia="Times New Roman" w:cs="Times New Roman"/>
              </w:rPr>
              <w:t xml:space="preserve">0.72</w:t>
            </w:r>
          </w:p>
        </w:tc>
        <w:tc>
          <w:tcPr>
            <w:tcW w:w="2200" w:type="dxa"/>
            <w:noWrap/>
          </w:tcPr>
          <w:p>
            <w:pPr/>
            <w:r>
              <w:rPr>
                <w:rFonts w:ascii="Times New Roman" w:hAnsi="Times New Roman" w:eastAsia="Times New Roman" w:cs="Times New Roman"/>
              </w:rPr>
              <w:t xml:space="preserve">0.65</w:t>
            </w:r>
          </w:p>
        </w:tc>
      </w:tr>
      <w:tr>
        <w:trPr/>
        <w:tc>
          <w:tcPr>
            <w:tcW w:w="2200" w:type="dxa"/>
            <w:noWrap/>
          </w:tcPr>
          <w:p>
            <w:pPr/>
            <w:r>
              <w:rPr>
                <w:rFonts w:ascii="Times New Roman" w:hAnsi="Times New Roman" w:eastAsia="Times New Roman" w:cs="Times New Roman"/>
              </w:rPr>
              <w:t xml:space="preserve">Group Study</w:t>
            </w:r>
          </w:p>
        </w:tc>
        <w:tc>
          <w:tcPr>
            <w:tcW w:w="2200" w:type="dxa"/>
            <w:noWrap/>
          </w:tcPr>
          <w:p>
            <w:pPr/>
            <w:r>
              <w:rPr>
                <w:rFonts w:ascii="Times New Roman" w:hAnsi="Times New Roman" w:eastAsia="Times New Roman" w:cs="Times New Roman"/>
              </w:rPr>
              <w:t xml:space="preserve">3.2</w:t>
            </w:r>
          </w:p>
        </w:tc>
        <w:tc>
          <w:tcPr>
            <w:tcW w:w="2200" w:type="dxa"/>
            <w:noWrap/>
          </w:tcPr>
          <w:p>
            <w:pPr/>
            <w:r>
              <w:rPr>
                <w:rFonts w:ascii="Times New Roman" w:hAnsi="Times New Roman" w:eastAsia="Times New Roman" w:cs="Times New Roman"/>
              </w:rPr>
              <w:t xml:space="preserve">3.1</w:t>
            </w:r>
          </w:p>
        </w:tc>
        <w:tc>
          <w:tcPr>
            <w:tcW w:w="2200" w:type="dxa"/>
            <w:noWrap/>
          </w:tcPr>
          <w:p>
            <w:pPr/>
            <w:r>
              <w:rPr>
                <w:rFonts w:ascii="Times New Roman" w:hAnsi="Times New Roman" w:eastAsia="Times New Roman" w:cs="Times New Roman"/>
              </w:rPr>
              <w:t xml:space="preserve">0.50</w:t>
            </w:r>
          </w:p>
        </w:tc>
        <w:tc>
          <w:tcPr>
            <w:tcW w:w="2200" w:type="dxa"/>
            <w:noWrap/>
          </w:tcPr>
          <w:p>
            <w:pPr/>
            <w:r>
              <w:rPr>
                <w:rFonts w:ascii="Times New Roman" w:hAnsi="Times New Roman" w:eastAsia="Times New Roman" w:cs="Times New Roman"/>
              </w:rPr>
              <w:t xml:space="preserve">0.54</w:t>
            </w:r>
          </w:p>
        </w:tc>
      </w:tr>
      <w:tr>
        <w:trPr/>
        <w:tc>
          <w:tcPr>
            <w:tcW w:w="2200" w:type="dxa"/>
            <w:noWrap/>
          </w:tcPr>
          <w:p>
            <w:pPr/>
            <w:r>
              <w:rPr>
                <w:rFonts w:ascii="Times New Roman" w:hAnsi="Times New Roman" w:eastAsia="Times New Roman" w:cs="Times New Roman"/>
              </w:rPr>
              <w:t xml:space="preserve">Use of Library</w:t>
            </w:r>
          </w:p>
        </w:tc>
        <w:tc>
          <w:tcPr>
            <w:tcW w:w="2200" w:type="dxa"/>
            <w:noWrap/>
          </w:tcPr>
          <w:p>
            <w:pPr/>
            <w:r>
              <w:rPr>
                <w:rFonts w:ascii="Times New Roman" w:hAnsi="Times New Roman" w:eastAsia="Times New Roman" w:cs="Times New Roman"/>
              </w:rPr>
              <w:t xml:space="preserve">3.7</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0.75</w:t>
            </w:r>
          </w:p>
        </w:tc>
        <w:tc>
          <w:tcPr>
            <w:tcW w:w="2200" w:type="dxa"/>
            <w:noWrap/>
          </w:tcPr>
          <w:p>
            <w:pPr/>
            <w:r>
              <w:rPr>
                <w:rFonts w:ascii="Times New Roman" w:hAnsi="Times New Roman" w:eastAsia="Times New Roman" w:cs="Times New Roman"/>
              </w:rPr>
              <w:t xml:space="preserve">0.68</w:t>
            </w:r>
          </w:p>
        </w:tc>
      </w:tr>
      <w:tr>
        <w:trPr/>
        <w:tc>
          <w:tcPr>
            <w:tcW w:w="2200" w:type="dxa"/>
            <w:noWrap/>
          </w:tcPr>
          <w:p>
            <w:pPr/>
            <w:r>
              <w:rPr>
                <w:rFonts w:ascii="Times New Roman" w:hAnsi="Times New Roman" w:eastAsia="Times New Roman" w:cs="Times New Roman"/>
              </w:rPr>
              <w:t xml:space="preserve">Online Resources</w:t>
            </w:r>
          </w:p>
        </w:tc>
        <w:tc>
          <w:tcPr>
            <w:tcW w:w="2200" w:type="dxa"/>
            <w:noWrap/>
          </w:tcPr>
          <w:p>
            <w:pPr/>
            <w:r>
              <w:rPr>
                <w:rFonts w:ascii="Times New Roman" w:hAnsi="Times New Roman" w:eastAsia="Times New Roman" w:cs="Times New Roman"/>
              </w:rPr>
              <w:t xml:space="preserve">3.3</w:t>
            </w:r>
          </w:p>
        </w:tc>
        <w:tc>
          <w:tcPr>
            <w:tcW w:w="2200" w:type="dxa"/>
            <w:noWrap/>
          </w:tcPr>
          <w:p>
            <w:pPr/>
            <w:r>
              <w:rPr>
                <w:rFonts w:ascii="Times New Roman" w:hAnsi="Times New Roman" w:eastAsia="Times New Roman" w:cs="Times New Roman"/>
              </w:rPr>
              <w:t xml:space="preserve">3.2</w:t>
            </w:r>
          </w:p>
        </w:tc>
        <w:tc>
          <w:tcPr>
            <w:tcW w:w="2200" w:type="dxa"/>
            <w:noWrap/>
          </w:tcPr>
          <w:p>
            <w:pPr/>
            <w:r>
              <w:rPr>
                <w:rFonts w:ascii="Times New Roman" w:hAnsi="Times New Roman" w:eastAsia="Times New Roman" w:cs="Times New Roman"/>
              </w:rPr>
              <w:t xml:space="preserve">0.60</w:t>
            </w:r>
          </w:p>
        </w:tc>
        <w:tc>
          <w:tcPr>
            <w:tcW w:w="2200" w:type="dxa"/>
            <w:noWrap/>
          </w:tcPr>
          <w:p>
            <w:pPr/>
            <w:r>
              <w:rPr>
                <w:rFonts w:ascii="Times New Roman" w:hAnsi="Times New Roman" w:eastAsia="Times New Roman" w:cs="Times New Roman"/>
              </w:rPr>
              <w:t xml:space="preserve">0.55</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interaction between study habits and gender reveals that male students tend to achieve slightly higher mean GPAs than female students across all study habits. Regular revision and library use show the strongest correlation with academic performance for both genders, with males exhibiting a slightly higher correlation coefficient (r = 0.72 and r = 0.75, respectively) compared to females (r = 0.65 and r = 0.68, respectively). This suggests that while both genders benefit from these study habits, male students may derive slightly more academic advantage. Group study and online resources also show positive correlations, with females showing a marginally higher correlation for group study (r = 0.54) than males (r = 0.50). These findings highlight the importance of considering gender differences when developing strategies to enhance study habits and academic performance.</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Study Habit</w:t>
            </w:r>
          </w:p>
        </w:tc>
        <w:tc>
          <w:tcPr>
            <w:tcW w:w="2200" w:type="dxa"/>
            <w:noWrap/>
          </w:tcPr>
          <w:p>
            <w:pPr/>
            <w:r>
              <w:rPr>
                <w:rFonts w:ascii="Times New Roman" w:hAnsi="Times New Roman" w:eastAsia="Times New Roman" w:cs="Times New Roman"/>
                <w:b w:val="1"/>
                <w:bCs w:val="1"/>
              </w:rPr>
              <w:t xml:space="preserve">18-20 years (Mean GPA)</w:t>
            </w:r>
          </w:p>
        </w:tc>
        <w:tc>
          <w:tcPr>
            <w:tcW w:w="2200" w:type="dxa"/>
            <w:noWrap/>
          </w:tcPr>
          <w:p>
            <w:pPr/>
            <w:r>
              <w:rPr>
                <w:rFonts w:ascii="Times New Roman" w:hAnsi="Times New Roman" w:eastAsia="Times New Roman" w:cs="Times New Roman"/>
                <w:b w:val="1"/>
                <w:bCs w:val="1"/>
              </w:rPr>
              <w:t xml:space="preserve">21-23 years (Mean GPA)</w:t>
            </w:r>
          </w:p>
        </w:tc>
        <w:tc>
          <w:tcPr>
            <w:tcW w:w="2200" w:type="dxa"/>
            <w:noWrap/>
          </w:tcPr>
          <w:p>
            <w:pPr/>
            <w:r>
              <w:rPr>
                <w:rFonts w:ascii="Times New Roman" w:hAnsi="Times New Roman" w:eastAsia="Times New Roman" w:cs="Times New Roman"/>
                <w:b w:val="1"/>
                <w:bCs w:val="1"/>
              </w:rPr>
              <w:t xml:space="preserve">24-26 years (Mean GPA)</w:t>
            </w:r>
          </w:p>
        </w:tc>
        <w:tc>
          <w:tcPr>
            <w:tcW w:w="2200" w:type="dxa"/>
            <w:noWrap/>
          </w:tcPr>
          <w:p>
            <w:pPr/>
            <w:r>
              <w:rPr>
                <w:rFonts w:ascii="Times New Roman" w:hAnsi="Times New Roman" w:eastAsia="Times New Roman" w:cs="Times New Roman"/>
                <w:b w:val="1"/>
                <w:bCs w:val="1"/>
              </w:rPr>
              <w:t xml:space="preserve">27+ years (Mean GPA)</w:t>
            </w:r>
          </w:p>
        </w:tc>
      </w:tr>
      <w:tr>
        <w:trPr/>
        <w:tc>
          <w:tcPr>
            <w:tcW w:w="2200" w:type="dxa"/>
            <w:noWrap/>
          </w:tcPr>
          <w:p>
            <w:pPr/>
            <w:r>
              <w:rPr>
                <w:rFonts w:ascii="Times New Roman" w:hAnsi="Times New Roman" w:eastAsia="Times New Roman" w:cs="Times New Roman"/>
              </w:rPr>
              <w:t xml:space="preserve">Regular Revision</w:t>
            </w:r>
          </w:p>
        </w:tc>
        <w:tc>
          <w:tcPr>
            <w:tcW w:w="2200" w:type="dxa"/>
            <w:noWrap/>
          </w:tcPr>
          <w:p>
            <w:pPr/>
            <w:r>
              <w:rPr>
                <w:rFonts w:ascii="Times New Roman" w:hAnsi="Times New Roman" w:eastAsia="Times New Roman" w:cs="Times New Roman"/>
              </w:rPr>
              <w:t xml:space="preserve">3.4</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3.6</w:t>
            </w:r>
          </w:p>
        </w:tc>
        <w:tc>
          <w:tcPr>
            <w:tcW w:w="2200" w:type="dxa"/>
            <w:noWrap/>
          </w:tcPr>
          <w:p>
            <w:pPr/>
            <w:r>
              <w:rPr>
                <w:rFonts w:ascii="Times New Roman" w:hAnsi="Times New Roman" w:eastAsia="Times New Roman" w:cs="Times New Roman"/>
              </w:rPr>
              <w:t xml:space="preserve">3.3</w:t>
            </w:r>
          </w:p>
        </w:tc>
      </w:tr>
      <w:tr>
        <w:trPr/>
        <w:tc>
          <w:tcPr>
            <w:tcW w:w="2200" w:type="dxa"/>
            <w:noWrap/>
          </w:tcPr>
          <w:p>
            <w:pPr/>
            <w:r>
              <w:rPr>
                <w:rFonts w:ascii="Times New Roman" w:hAnsi="Times New Roman" w:eastAsia="Times New Roman" w:cs="Times New Roman"/>
              </w:rPr>
              <w:t xml:space="preserve">Group Study</w:t>
            </w:r>
          </w:p>
        </w:tc>
        <w:tc>
          <w:tcPr>
            <w:tcW w:w="2200" w:type="dxa"/>
            <w:noWrap/>
          </w:tcPr>
          <w:p>
            <w:pPr/>
            <w:r>
              <w:rPr>
                <w:rFonts w:ascii="Times New Roman" w:hAnsi="Times New Roman" w:eastAsia="Times New Roman" w:cs="Times New Roman"/>
              </w:rPr>
              <w:t xml:space="preserve">3.1</w:t>
            </w:r>
          </w:p>
        </w:tc>
        <w:tc>
          <w:tcPr>
            <w:tcW w:w="2200" w:type="dxa"/>
            <w:noWrap/>
          </w:tcPr>
          <w:p>
            <w:pPr/>
            <w:r>
              <w:rPr>
                <w:rFonts w:ascii="Times New Roman" w:hAnsi="Times New Roman" w:eastAsia="Times New Roman" w:cs="Times New Roman"/>
              </w:rPr>
              <w:t xml:space="preserve">3.2</w:t>
            </w:r>
          </w:p>
        </w:tc>
        <w:tc>
          <w:tcPr>
            <w:tcW w:w="2200" w:type="dxa"/>
            <w:noWrap/>
          </w:tcPr>
          <w:p>
            <w:pPr/>
            <w:r>
              <w:rPr>
                <w:rFonts w:ascii="Times New Roman" w:hAnsi="Times New Roman" w:eastAsia="Times New Roman" w:cs="Times New Roman"/>
              </w:rPr>
              <w:t xml:space="preserve">3.3</w:t>
            </w:r>
          </w:p>
        </w:tc>
        <w:tc>
          <w:tcPr>
            <w:tcW w:w="2200" w:type="dxa"/>
            <w:noWrap/>
          </w:tcPr>
          <w:p>
            <w:pPr/>
            <w:r>
              <w:rPr>
                <w:rFonts w:ascii="Times New Roman" w:hAnsi="Times New Roman" w:eastAsia="Times New Roman" w:cs="Times New Roman"/>
              </w:rPr>
              <w:t xml:space="preserve">3.0</w:t>
            </w:r>
          </w:p>
        </w:tc>
      </w:tr>
      <w:tr>
        <w:trPr/>
        <w:tc>
          <w:tcPr>
            <w:tcW w:w="2200" w:type="dxa"/>
            <w:noWrap/>
          </w:tcPr>
          <w:p>
            <w:pPr/>
            <w:r>
              <w:rPr>
                <w:rFonts w:ascii="Times New Roman" w:hAnsi="Times New Roman" w:eastAsia="Times New Roman" w:cs="Times New Roman"/>
              </w:rPr>
              <w:t xml:space="preserve">Use of Library</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3.6</w:t>
            </w:r>
          </w:p>
        </w:tc>
        <w:tc>
          <w:tcPr>
            <w:tcW w:w="2200" w:type="dxa"/>
            <w:noWrap/>
          </w:tcPr>
          <w:p>
            <w:pPr/>
            <w:r>
              <w:rPr>
                <w:rFonts w:ascii="Times New Roman" w:hAnsi="Times New Roman" w:eastAsia="Times New Roman" w:cs="Times New Roman"/>
              </w:rPr>
              <w:t xml:space="preserve">3.7</w:t>
            </w:r>
          </w:p>
        </w:tc>
        <w:tc>
          <w:tcPr>
            <w:tcW w:w="2200" w:type="dxa"/>
            <w:noWrap/>
          </w:tcPr>
          <w:p>
            <w:pPr/>
            <w:r>
              <w:rPr>
                <w:rFonts w:ascii="Times New Roman" w:hAnsi="Times New Roman" w:eastAsia="Times New Roman" w:cs="Times New Roman"/>
              </w:rPr>
              <w:t xml:space="preserve">3.4</w:t>
            </w:r>
          </w:p>
        </w:tc>
      </w:tr>
      <w:tr>
        <w:trPr/>
        <w:tc>
          <w:tcPr>
            <w:tcW w:w="2200" w:type="dxa"/>
            <w:noWrap/>
          </w:tcPr>
          <w:p>
            <w:pPr/>
            <w:r>
              <w:rPr>
                <w:rFonts w:ascii="Times New Roman" w:hAnsi="Times New Roman" w:eastAsia="Times New Roman" w:cs="Times New Roman"/>
              </w:rPr>
              <w:t xml:space="preserve">Online Resources</w:t>
            </w:r>
          </w:p>
        </w:tc>
        <w:tc>
          <w:tcPr>
            <w:tcW w:w="2200" w:type="dxa"/>
            <w:noWrap/>
          </w:tcPr>
          <w:p>
            <w:pPr/>
            <w:r>
              <w:rPr>
                <w:rFonts w:ascii="Times New Roman" w:hAnsi="Times New Roman" w:eastAsia="Times New Roman" w:cs="Times New Roman"/>
              </w:rPr>
              <w:t xml:space="preserve">3.2</w:t>
            </w:r>
          </w:p>
        </w:tc>
        <w:tc>
          <w:tcPr>
            <w:tcW w:w="2200" w:type="dxa"/>
            <w:noWrap/>
          </w:tcPr>
          <w:p>
            <w:pPr/>
            <w:r>
              <w:rPr>
                <w:rFonts w:ascii="Times New Roman" w:hAnsi="Times New Roman" w:eastAsia="Times New Roman" w:cs="Times New Roman"/>
              </w:rPr>
              <w:t xml:space="preserve">3.3</w:t>
            </w:r>
          </w:p>
        </w:tc>
        <w:tc>
          <w:tcPr>
            <w:tcW w:w="2200" w:type="dxa"/>
            <w:noWrap/>
          </w:tcPr>
          <w:p>
            <w:pPr/>
            <w:r>
              <w:rPr>
                <w:rFonts w:ascii="Times New Roman" w:hAnsi="Times New Roman" w:eastAsia="Times New Roman" w:cs="Times New Roman"/>
              </w:rPr>
              <w:t xml:space="preserve">3.4</w:t>
            </w:r>
          </w:p>
        </w:tc>
        <w:tc>
          <w:tcPr>
            <w:tcW w:w="2200" w:type="dxa"/>
            <w:noWrap/>
          </w:tcPr>
          <w:p>
            <w:pPr/>
            <w:r>
              <w:rPr>
                <w:rFonts w:ascii="Times New Roman" w:hAnsi="Times New Roman" w:eastAsia="Times New Roman" w:cs="Times New Roman"/>
              </w:rPr>
              <w:t xml:space="preserve">3.1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analysis of study habits across different age groups indicates that older students (24-26 years) tend to achieve higher mean GPAs compared to their younger counterparts. Regular revision and library use are particularly effective for this age group, with mean GPAs of 3.6 and 3.7, respectively. This suggests that older students may have developed more effective study strategies over time, leading to better academic outcomes. The 21-23 age group also shows strong performance, particularly in regular revision and library use, with mean GPAs of 3.5 and 3.6, respectively. Younger students (18-20 years) and those aged 27 and above show slightly lower mean GPAs, indicating potential areas for improvement in study habits. These findings emphasize the need for age-specific interventions to support students in developing effective study habits that enhance academic performance.</w:t>
      </w:r>
    </w:p>
    <w:p>
      <w:pPr>
        <w:jc w:val="both"/>
        <w:spacing w:after="180" w:line="360" w:lineRule="auto"/>
      </w:pPr>
      <w:r>
        <w:rPr>
          <w:rFonts w:ascii="Times New Roman" w:hAnsi="Times New Roman" w:eastAsia="Times New Roman" w:cs="Times New Roman"/>
          <w:sz w:val="24"/>
          <w:szCs w:val="24"/>
        </w:rPr>
        <w:t xml:space="preserve">In conclusion, the additional analyses provide a deeper understanding of how study habits interact with demographic variables to influence academic performance. These insights can inform targeted strategies to support students in developing effective study habits and achieving academic success.</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the Study</w:t>
      </w:r>
    </w:p>
    <w:p>
      <w:pPr>
        <w:jc w:val="both"/>
        <w:spacing w:after="180" w:line="360" w:lineRule="auto"/>
      </w:pPr>
      <w:r>
        <w:rPr>
          <w:rFonts w:ascii="Times New Roman" w:hAnsi="Times New Roman" w:eastAsia="Times New Roman" w:cs="Times New Roman"/>
          <w:sz w:val="24"/>
          <w:szCs w:val="24"/>
        </w:rPr>
        <w:t xml:space="preserve">The study aimed to explore the impact of study habits on academic performance among undergraduates in Lokoja. This research was motivated by the need to understand how different study habits influence academic success and to identify effective strategies that can be adopted by students to enhance their academic outcomes. The study employed a descriptive survey design, targeting undergraduates in Lokoja, with data collected through a structured questionnaire. The analysis was conducted using SPSS, focusing on descriptive statistics and correlation analysis to interpret the relationship between study habits and academic performance.</w:t>
      </w:r>
    </w:p>
    <w:p>
      <w:pPr>
        <w:jc w:val="both"/>
        <w:spacing w:after="180" w:line="360" w:lineRule="auto"/>
      </w:pPr>
      <w:r>
        <w:rPr>
          <w:rFonts w:ascii="Times New Roman" w:hAnsi="Times New Roman" w:eastAsia="Times New Roman" w:cs="Times New Roman"/>
          <w:sz w:val="24"/>
          <w:szCs w:val="24"/>
        </w:rPr>
        <w:t xml:space="preserve">The study was structured around three primary research questions: identifying common study habits among undergraduates, assessing the impact of these habits on academic performance, and determining which study habits are most effective in enhancing academic achievement. The demographic characteristics of the respondents revealed a balanced gender distribution and a typical age range for undergraduates, ensuring that the sample was representative of the broader undergraduate population in Lokoja.</w:t>
      </w:r>
    </w:p>
    <w:p>
      <w:pPr>
        <w:jc w:val="both"/>
        <w:spacing w:after="180" w:line="360" w:lineRule="auto"/>
      </w:pPr>
      <w:r>
        <w:rPr>
          <w:rFonts w:ascii="Times New Roman" w:hAnsi="Times New Roman" w:eastAsia="Times New Roman" w:cs="Times New Roman"/>
          <w:sz w:val="24"/>
          <w:szCs w:val="24"/>
        </w:rPr>
        <w:t xml:space="preserve">The findings indicated that regular revision was the most prevalent study habit, followed by group study, use of the library, and online resources. Regular revision and library use were strongly correlated with higher academic performance, suggesting that these habits are particularly effective in enhancing students' understanding and retention of course material. The study also highlighted gender and age differences in the effectiveness of study habits, with male students and older age groups generally achieving higher academic performance.</w:t>
      </w:r>
    </w:p>
    <w:p>
      <w:pPr>
        <w:jc w:val="both"/>
        <w:spacing w:after="180" w:line="360" w:lineRule="auto"/>
      </w:pPr>
      <w:r>
        <w:rPr>
          <w:rFonts w:ascii="Times New Roman" w:hAnsi="Times New Roman" w:eastAsia="Times New Roman" w:cs="Times New Roman"/>
          <w:sz w:val="24"/>
          <w:szCs w:val="24"/>
        </w:rPr>
        <w:t xml:space="preserve">Overall, the study provides valuable insights into the study habits of undergraduates in Lokoja and their impact on academic performance. These findings can inform the development of targeted interventions to support students in adopting effective study strategies and achieving academic success.</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study habits play a significant role in determining academic performance among undergraduates in Lokoja. Regular revision and library use emerged as the most effective study habits, positively correlating with higher academic achievement. These habits facilitate a deeper understanding of course material and enhance students' ability to retain information, leading to improved academic outcomes.</w:t>
      </w:r>
    </w:p>
    <w:p>
      <w:pPr>
        <w:jc w:val="both"/>
        <w:spacing w:after="180" w:line="360" w:lineRule="auto"/>
      </w:pPr>
      <w:r>
        <w:rPr>
          <w:rFonts w:ascii="Times New Roman" w:hAnsi="Times New Roman" w:eastAsia="Times New Roman" w:cs="Times New Roman"/>
          <w:sz w:val="24"/>
          <w:szCs w:val="24"/>
        </w:rPr>
        <w:t xml:space="preserve">The study also revealed important demographic differences in the effectiveness of study habits. Male students and older age groups tended to achieve higher academic performance, suggesting that these groups may have developed more effective study strategies over time. This highlights the importance of considering demographic factors when developing interventions to support students in improving their study habits.</w:t>
      </w:r>
    </w:p>
    <w:p>
      <w:pPr>
        <w:jc w:val="both"/>
        <w:spacing w:after="180" w:line="360" w:lineRule="auto"/>
      </w:pPr>
      <w:r>
        <w:rPr>
          <w:rFonts w:ascii="Times New Roman" w:hAnsi="Times New Roman" w:eastAsia="Times New Roman" w:cs="Times New Roman"/>
          <w:sz w:val="24"/>
          <w:szCs w:val="24"/>
        </w:rPr>
        <w:t xml:space="preserve">In conclusion, the study underscores the critical role of effective study habits in academic success and the need for targeted strategies to support students in adopting these habits. By understanding the specific study habits that contribute to academic achievement, educators and policymakers can develop interventions that address the unique needs of different student groups, ultimately enhancing the overall academic performance of undergraduates in Lokoja.</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of this study, several recommendations are proposed to enhance the academic performance of undergraduates in Lokoja through improved study habits:</w:t>
      </w:r>
    </w:p>
    <w:p>
      <w:pPr>
        <w:numPr>
          <w:ilvl w:val="0"/>
          <w:numId w:val="3"/>
        </w:numPr>
      </w:pPr>
      <w:r>
        <w:rPr>
          <w:rFonts w:ascii="Times New Roman" w:hAnsi="Times New Roman" w:eastAsia="Times New Roman" w:cs="Times New Roman"/>
          <w:sz w:val="24"/>
          <w:szCs w:val="24"/>
        </w:rPr>
        <w:t xml:space="preserve">Promotion of Regular Revision: Educational institutions should encourage students to engage in regular revision by integrating structured revision sessions into the academic calendar. This can be achieved through workshops, seminars, and study groups that emphasize the importance of consistent review of course material.</w:t>
      </w:r>
    </w:p>
    <w:p>
      <w:pPr>
        <w:numPr>
          <w:ilvl w:val="0"/>
          <w:numId w:val="3"/>
        </w:numPr>
      </w:pPr>
      <w:r>
        <w:rPr>
          <w:rFonts w:ascii="Times New Roman" w:hAnsi="Times New Roman" w:eastAsia="Times New Roman" w:cs="Times New Roman"/>
          <w:sz w:val="24"/>
          <w:szCs w:val="24"/>
        </w:rPr>
        <w:t xml:space="preserve">Enhancement of Library Resources: Universities should invest in expanding and updating library resources to provide students with access to a wide range of academic materials. This includes both physical and digital resources, ensuring that students can access the information they need to support their studies.</w:t>
      </w:r>
    </w:p>
    <w:p>
      <w:pPr>
        <w:numPr>
          <w:ilvl w:val="0"/>
          <w:numId w:val="3"/>
        </w:numPr>
      </w:pPr>
      <w:r>
        <w:rPr>
          <w:rFonts w:ascii="Times New Roman" w:hAnsi="Times New Roman" w:eastAsia="Times New Roman" w:cs="Times New Roman"/>
          <w:sz w:val="24"/>
          <w:szCs w:val="24"/>
        </w:rPr>
        <w:t xml:space="preserve">Development of Online Learning Platforms: Given the increasing reliance on digital resources, universities should develop robust online learning platforms that provide students with access to lectures, study materials, and interactive learning tools. This can support students in developing effective study habits and enhance their academic performance.</w:t>
      </w:r>
    </w:p>
    <w:p>
      <w:pPr>
        <w:numPr>
          <w:ilvl w:val="0"/>
          <w:numId w:val="3"/>
        </w:numPr>
      </w:pPr>
      <w:r>
        <w:rPr>
          <w:rFonts w:ascii="Times New Roman" w:hAnsi="Times New Roman" w:eastAsia="Times New Roman" w:cs="Times New Roman"/>
          <w:sz w:val="24"/>
          <w:szCs w:val="24"/>
        </w:rPr>
        <w:t xml:space="preserve">Targeted Support for Different Demographic Groups: Interventions should be tailored to address the specific needs of different demographic groups, such as gender and age. For example, younger students may benefit from mentorship programs that pair them with older students who can share effective study strategies.</w:t>
      </w:r>
    </w:p>
    <w:p>
      <w:pPr>
        <w:numPr>
          <w:ilvl w:val="0"/>
          <w:numId w:val="3"/>
        </w:numPr>
      </w:pPr>
      <w:r>
        <w:rPr>
          <w:rFonts w:ascii="Times New Roman" w:hAnsi="Times New Roman" w:eastAsia="Times New Roman" w:cs="Times New Roman"/>
          <w:sz w:val="24"/>
          <w:szCs w:val="24"/>
        </w:rPr>
        <w:t xml:space="preserve">Encouragement of Collaborative Learning: Group study should be promoted as a valuable study habit that fosters peer support and collaborative learning. Universities can facilitate this by providing spaces for group study and encouraging the formation of study groups within courses.</w:t>
      </w:r>
    </w:p>
    <w:p>
      <w:pPr>
        <w:numPr>
          <w:ilvl w:val="0"/>
          <w:numId w:val="3"/>
        </w:numPr>
      </w:pPr>
      <w:r>
        <w:rPr>
          <w:rFonts w:ascii="Times New Roman" w:hAnsi="Times New Roman" w:eastAsia="Times New Roman" w:cs="Times New Roman"/>
          <w:sz w:val="24"/>
          <w:szCs w:val="24"/>
        </w:rPr>
        <w:t xml:space="preserve">Training for Academic Staff: Educators should be trained to recognize and support effective study habits among students. This includes providing guidance on study techniques and creating an environment that encourages active learning and engagement with course material.</w:t>
      </w:r>
    </w:p>
    <w:p>
      <w:pPr>
        <w:numPr>
          <w:ilvl w:val="0"/>
          <w:numId w:val="3"/>
        </w:numPr>
      </w:pPr>
      <w:r>
        <w:rPr>
          <w:rFonts w:ascii="Times New Roman" w:hAnsi="Times New Roman" w:eastAsia="Times New Roman" w:cs="Times New Roman"/>
          <w:sz w:val="24"/>
          <w:szCs w:val="24"/>
        </w:rPr>
        <w:t xml:space="preserve">Monitoring and Evaluation of Study Habits: Universities should implement systems to monitor and evaluate the study habits of students, using this data to inform the development of targeted interventions. This can include surveys, focus groups, and academic performance tracking.</w:t>
      </w:r>
    </w:p>
    <w:p>
      <w:pPr>
        <w:jc w:val="both"/>
        <w:spacing w:after="180" w:line="360" w:lineRule="auto"/>
      </w:pPr>
      <w:r>
        <w:rPr>
          <w:rFonts w:ascii="Times New Roman" w:hAnsi="Times New Roman" w:eastAsia="Times New Roman" w:cs="Times New Roman"/>
          <w:sz w:val="24"/>
          <w:szCs w:val="24"/>
        </w:rPr>
        <w:t xml:space="preserve">By implementing these recommendations, educational institutions in Lokoja can support students in developing effective study habits that enhance their academic performance. This will not only improve individual student outcomes but also contribute to the overall academic success of the undergraduate population in Lokoja.</w:t>
      </w:r>
    </w:p>
    <w:p>
      <w:pPr>
        <w:numPr>
          <w:ilvl w:val="0"/>
          <w:numId w:val="3"/>
        </w:numPr>
      </w:pPr>
      <w:r>
        <w:rPr>
          <w:rFonts w:ascii="Times New Roman" w:hAnsi="Times New Roman" w:eastAsia="Times New Roman" w:cs="Times New Roman"/>
          <w:sz w:val="24"/>
          <w:szCs w:val="24"/>
        </w:rPr>
        <w:t xml:space="preserve">Integration of Study Skills Workshops: Universities should consider integrating study skills workshops into the curriculum. These workshops can cover a range of topics, including time management, effective note-taking, and exam preparation techniques. By equipping students with these skills, institutions can help them develop more effective study habits that lead to improved academic performance.</w:t>
      </w:r>
    </w:p>
    <w:p>
      <w:pPr>
        <w:numPr>
          <w:ilvl w:val="0"/>
          <w:numId w:val="3"/>
        </w:numPr>
      </w:pPr>
      <w:r>
        <w:rPr>
          <w:rFonts w:ascii="Times New Roman" w:hAnsi="Times New Roman" w:eastAsia="Times New Roman" w:cs="Times New Roman"/>
          <w:sz w:val="24"/>
          <w:szCs w:val="24"/>
        </w:rPr>
        <w:t xml:space="preserve">Utilization of Peer Tutoring Programs: Establishing peer tutoring programs can provide students with additional academic support. These programs allow students to learn from their peers who have demonstrated proficiency in specific subjects. Peer tutors can offer personalized guidance and share effective study strategies, contributing to a supportive learning environment.</w:t>
      </w:r>
    </w:p>
    <w:p>
      <w:pPr>
        <w:numPr>
          <w:ilvl w:val="0"/>
          <w:numId w:val="3"/>
        </w:numPr>
      </w:pPr>
      <w:r>
        <w:rPr>
          <w:rFonts w:ascii="Times New Roman" w:hAnsi="Times New Roman" w:eastAsia="Times New Roman" w:cs="Times New Roman"/>
          <w:sz w:val="24"/>
          <w:szCs w:val="24"/>
        </w:rPr>
        <w:t xml:space="preserve">Incorporation of Technology in Learning: Encouraging the use of educational technology can enhance students' study habits. Tools such as educational apps, online quizzes, and virtual study groups can provide interactive and engaging ways for students to review and reinforce their learning. Universities should facilitate access to these technologies and provide training on their effective use.</w:t>
      </w:r>
    </w:p>
    <w:p>
      <w:pPr>
        <w:numPr>
          <w:ilvl w:val="0"/>
          <w:numId w:val="3"/>
        </w:numPr>
      </w:pPr>
      <w:r>
        <w:rPr>
          <w:rFonts w:ascii="Times New Roman" w:hAnsi="Times New Roman" w:eastAsia="Times New Roman" w:cs="Times New Roman"/>
          <w:sz w:val="24"/>
          <w:szCs w:val="24"/>
        </w:rPr>
        <w:t xml:space="preserve">Feedback Mechanisms for Continuous Improvement: Implementing feedback mechanisms can help students continuously improve their study habits. Regular feedback from instructors on assignments and exams can guide students in identifying areas for improvement and refining their study techniques. Additionally, self-assessment tools can empower students to evaluate their own progress and make necessary adjustments.</w:t>
      </w:r>
    </w:p>
    <w:p>
      <w:pPr>
        <w:numPr>
          <w:ilvl w:val="0"/>
          <w:numId w:val="3"/>
        </w:numPr>
      </w:pPr>
      <w:r>
        <w:rPr>
          <w:rFonts w:ascii="Times New Roman" w:hAnsi="Times New Roman" w:eastAsia="Times New Roman" w:cs="Times New Roman"/>
          <w:sz w:val="24"/>
          <w:szCs w:val="24"/>
        </w:rPr>
        <w:t xml:space="preserve">Promotion of a Balanced Lifestyle: Universities should promote a balanced lifestyle that includes adequate rest, nutrition, and physical activity. A healthy lifestyle supports cognitive function and overall well-being, which are essential for effective studying and academic success. Institutions can offer wellness programs and resources to help students maintain a healthy balance.</w:t>
      </w:r>
    </w:p>
    <w:p>
      <w:pPr>
        <w:numPr>
          <w:ilvl w:val="0"/>
          <w:numId w:val="3"/>
        </w:numPr>
      </w:pPr>
      <w:r>
        <w:rPr>
          <w:rFonts w:ascii="Times New Roman" w:hAnsi="Times New Roman" w:eastAsia="Times New Roman" w:cs="Times New Roman"/>
          <w:sz w:val="24"/>
          <w:szCs w:val="24"/>
        </w:rPr>
        <w:t xml:space="preserve">Encouragement of Reflective Practices: Encouraging students to engage in reflective practices can enhance their self-awareness and understanding of their learning processes. Reflection activities, such as journaling or self-evaluation exercises, can help students identify their strengths and weaknesses in study habits and develop personalized strategies for improvement.</w:t>
      </w:r>
    </w:p>
    <w:p>
      <w:pPr>
        <w:numPr>
          <w:ilvl w:val="0"/>
          <w:numId w:val="3"/>
        </w:numPr>
      </w:pPr>
      <w:r>
        <w:rPr>
          <w:rFonts w:ascii="Times New Roman" w:hAnsi="Times New Roman" w:eastAsia="Times New Roman" w:cs="Times New Roman"/>
          <w:sz w:val="24"/>
          <w:szCs w:val="24"/>
        </w:rPr>
        <w:t xml:space="preserve">Collaboration with Parents and Guardians: Engaging parents and guardians in the academic journey of students can provide additional support and motivation. Universities can organize informational sessions and workshops for parents to educate them on effective study habits and ways to support their children's academic endeavors.</w:t>
      </w:r>
    </w:p>
    <w:p>
      <w:pPr>
        <w:numPr>
          <w:ilvl w:val="0"/>
          <w:numId w:val="3"/>
        </w:numPr>
      </w:pPr>
      <w:r>
        <w:rPr>
          <w:rFonts w:ascii="Times New Roman" w:hAnsi="Times New Roman" w:eastAsia="Times New Roman" w:cs="Times New Roman"/>
          <w:sz w:val="24"/>
          <w:szCs w:val="24"/>
        </w:rPr>
        <w:t xml:space="preserve">Research and Development Initiatives: Universities should invest in research and development initiatives to explore innovative study techniques and educational practices. By staying at the forefront of educational research, institutions can continuously update their strategies and provide students with the most effective tools for academic success.</w:t>
      </w:r>
    </w:p>
    <w:p>
      <w:pPr>
        <w:jc w:val="both"/>
        <w:spacing w:after="180" w:line="360" w:lineRule="auto"/>
      </w:pPr>
      <w:r>
        <w:rPr>
          <w:rFonts w:ascii="Times New Roman" w:hAnsi="Times New Roman" w:eastAsia="Times New Roman" w:cs="Times New Roman"/>
          <w:sz w:val="24"/>
          <w:szCs w:val="24"/>
        </w:rPr>
        <w:t xml:space="preserve">By implementing these comprehensive recommendations, educational institutions in Lokoja can create an environment that fosters effective study habits and enhances academic performance. These initiatives will not only benefit individual students but also contribute to the overall academic excellence of the undergraduate population in Lokoja.</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DE29874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2C2964CD"/>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Impact of study habits on academic performance among undergraduates in Lokoja</dc:title>
  <dc:description/>
  <dc:subject/>
  <cp:keywords/>
  <cp:category/>
  <cp:lastModifiedBy/>
  <dcterms:created xsi:type="dcterms:W3CDTF">2026-03-29T14:54:24+00:00</dcterms:created>
  <dcterms:modified xsi:type="dcterms:W3CDTF">2026-03-29T14:54:24+00:00</dcterms:modified>
</cp:coreProperties>
</file>

<file path=docProps/custom.xml><?xml version="1.0" encoding="utf-8"?>
<Properties xmlns="http://schemas.openxmlformats.org/officeDocument/2006/custom-properties" xmlns:vt="http://schemas.openxmlformats.org/officeDocument/2006/docPropsVTypes"/>
</file>