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ADU Fleet Project Runbook</w:t>
      </w:r>
    </w:p>
    <w:p>
      <w:pPr>
        <w:pStyle w:val="Subtitle"/>
      </w:pPr>
      <w:r>
        <w:t>Deployment and release management</w:t>
      </w:r>
    </w:p>
    <w:p>
      <w:pPr>
        <w:pStyle w:val="Heading1"/>
      </w:pPr>
      <w:r>
        <w:t>8.2 Standard Deployment Procedure</w:t>
      </w:r>
    </w:p>
    <w:p>
      <w:r>
        <w:t>Deploy ADU through the use case Azure DevOps pipeline, using the application packages and Bicep configuration associated with the approved release. This procedure covers the DU API, Queue API, Pipeline Orchestrator, Puller Service, document-processing Function App, HITL pipeline bridge and supporting resources included in the change. Record the affected components and target environment before execution.</w:t>
      </w:r>
    </w:p>
    <w:p>
      <w:pPr>
        <w:pStyle w:val="Heading2"/>
      </w:pPr>
      <w:r>
        <w:t>Before deployment</w:t>
      </w:r>
    </w:p>
    <w:p>
      <w:pPr>
        <w:keepLines/>
      </w:pPr>
      <w:r>
        <w:rPr>
          <w:b/>
        </w:rPr>
        <w:t xml:space="preserve">1. Confirm scope and approval. </w:t>
      </w:r>
      <w:r>
        <w:t>Record the change reference, target subscription and resource group, pipeline link, deployment owner, QA contact and release window. Apply the approval gates in section 8.1: Pre-Production and Production require Release Management approval, with an independent approver who has no access to change repository code. The approved Production change must reference the pipeline being deployed.</w:t>
      </w:r>
    </w:p>
    <w:p>
      <w:pPr>
        <w:keepLines/>
      </w:pPr>
      <w:r>
        <w:rPr>
          <w:b/>
        </w:rPr>
        <w:t xml:space="preserve">2. Identify the exact release. </w:t>
      </w:r>
      <w:r>
        <w:t>Confirm that code review, build checks and the required lower-environment tests have passed. Record the commit IDs for both the use case repository and AXA-Go-Libraries, together with the build run and artifact version. Retain the package for this release and the previous release that passed operational checks in the target environment. Confirm that the previous package can be selected for redeployment.</w:t>
      </w:r>
    </w:p>
    <w:p>
      <w:pPr>
        <w:keepLines/>
      </w:pPr>
      <w:r>
        <w:rPr>
          <w:b/>
        </w:rPr>
        <w:t xml:space="preserve">3. Review configuration and access. </w:t>
      </w:r>
      <w:r>
        <w:t>Check variables.yml, the target environment variable file, Azure DevOps variable groups and Key Vault references. Verify pipeline definition IDs, input/intermediate/output storage locations, Service Bus queue settings and the target Event Hub. Confirm the approved authentication mode and connectivity from the deployed application environment. For a federation change, verify the target-tenant principal, sender role and trust configuration. Check deployment-principal permissions separately from application runtime permissions.</w:t>
      </w:r>
    </w:p>
    <w:p>
      <w:pPr>
        <w:keepLines/>
      </w:pPr>
      <w:r>
        <w:rPr>
          <w:b/>
        </w:rPr>
        <w:t xml:space="preserve">4. Validate infrastructure and packaging. </w:t>
      </w:r>
      <w:r>
        <w:t>Validate the Bicep changes and review the what-if output for unexpected resource, identity, network or storage changes. Check that Function App packages contain the required entry points, host.json and dependencies at the correct paths, and match the configured runtime. Resolve package or configuration errors before starting deployment.</w:t>
      </w:r>
      <w:r>
        <w:t xml:space="preserve"> </w:t>
      </w:r>
      <w:hyperlink r:id="rId11">
        <w:r>
          <w:rPr>
            <w:color w:val="1F4E79"/>
            <w:sz w:val="18"/>
          </w:rPr>
          <w:t>[Bicep guidance]</w:t>
        </w:r>
      </w:hyperlink>
    </w:p>
    <w:p>
      <w:pPr>
        <w:keepLines/>
      </w:pPr>
      <w:r>
        <w:rPr>
          <w:b/>
        </w:rPr>
        <w:t xml:space="preserve">5. Prepare validation and recovery. </w:t>
      </w:r>
      <w:r>
        <w:t>QA identifies the smoke-pack version and expected results. Record current application health, queue and dead-letter counts, and any in-flight submissions. Agree the post-deployment observation period and latest rollback decision time. Where the change requires processing to pause, record the supported pause point and resumption steps. Confirm data compatibility and the recovery method for any persistent-data change.</w:t>
      </w:r>
    </w:p>
    <w:p>
      <w:r>
        <w:br w:type="page"/>
      </w:r>
    </w:p>
    <w:p>
      <w:pPr>
        <w:pStyle w:val="Heading2"/>
      </w:pPr>
      <w:r>
        <w:t>Deployment and verification</w:t>
      </w:r>
    </w:p>
    <w:p>
      <w:pPr>
        <w:keepLines/>
      </w:pPr>
      <w:r>
        <w:rPr>
          <w:b/>
        </w:rPr>
        <w:t xml:space="preserve">6. Run the approved pipeline. </w:t>
      </w:r>
      <w:r>
        <w:t>Select the agreed release artifact and target environment, complete the required approval gates and monitor the infrastructure, configuration and application deployment stages. Preserve the dependency order defined in the pipeline. Investigate a failed stage before continuing, and record any partially deployed components for recovery.</w:t>
      </w:r>
    </w:p>
    <w:p>
      <w:pPr>
        <w:keepLines/>
      </w:pPr>
      <w:r>
        <w:rPr>
          <w:b/>
        </w:rPr>
        <w:t xml:space="preserve">7. Confirm that the services are running. </w:t>
      </w:r>
      <w:r>
        <w:t>Check Azure deployment results, Web App startup and API availability. Confirm that the expected functions are listed and enabled, including document-processing triggers and the HITL bridge Service Bus consumer. If functions are missing, investigate host indexing, imports, dependencies and package layout. Synchronise triggers where the deployment method requires it. A successful pipeline run alone does not establish application readiness.</w:t>
      </w:r>
      <w:r>
        <w:t xml:space="preserve"> </w:t>
      </w:r>
      <w:hyperlink r:id="rId12">
        <w:r>
          <w:rPr>
            <w:color w:val="1F4E79"/>
            <w:sz w:val="18"/>
          </w:rPr>
          <w:t>[Functions guidance]</w:t>
        </w:r>
      </w:hyperlink>
    </w:p>
    <w:p>
      <w:pPr>
        <w:keepLines/>
      </w:pPr>
      <w:r>
        <w:rPr>
          <w:b/>
        </w:rPr>
        <w:t xml:space="preserve">8. Run the QA smoke pack. </w:t>
      </w:r>
      <w:r>
        <w:t>Use controlled test submissions with recorded timestamps and pipeline execution IDs. Trace each submission through Application Insights and the relevant outputs. The checks below define the minimum DU coverage; QA supplies the test cases and expected values.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shd w:fill="E8EDF2"/>
            <w:tcMar>
              <w:top w:w="95" w:type="dxa"/>
              <w:bottom w:w="95" w:type="dxa"/>
              <w:left w:w="95" w:type="dxa"/>
              <w:right w:w="95" w:type="dxa"/>
            </w:tcMar>
          </w:tcPr>
          <w:p>
            <w:pPr>
              <w:keepNext/>
              <w:spacing w:after="0" w:line="247" w:lineRule="auto"/>
            </w:pPr>
            <w:r>
              <w:rPr>
                <w:b/>
                <w:color w:val="000000"/>
                <w:sz w:val="21"/>
              </w:rPr>
              <w:t>Check</w:t>
            </w:r>
          </w:p>
        </w:tc>
        <w:tc>
          <w:tcPr>
            <w:tcW w:type="dxa" w:w="8424"/>
            <w:vAlign w:val="center"/>
            <w:shd w:fill="E8EDF2"/>
            <w:tcMar>
              <w:top w:w="95" w:type="dxa"/>
              <w:bottom w:w="95" w:type="dxa"/>
              <w:left w:w="95" w:type="dxa"/>
              <w:right w:w="95" w:type="dxa"/>
            </w:tcMar>
          </w:tcPr>
          <w:p>
            <w:pPr>
              <w:keepNext/>
              <w:spacing w:after="0" w:line="247" w:lineRule="auto"/>
            </w:pPr>
            <w:r>
              <w:rPr>
                <w:b/>
                <w:color w:val="000000"/>
                <w:sz w:val="21"/>
              </w:rPr>
              <w:t>Required evidence</w:t>
            </w:r>
          </w:p>
        </w:tc>
      </w:tr>
      <w:tr>
        <w:trPr>
          <w:cantSplit/>
        </w:trPr>
        <w:tc>
          <w:tcPr>
            <w:tcW w:type="dxa" w:w="1800"/>
            <w:vAlign w:val="center"/>
            <w:shd w:fill="FFFFFF"/>
            <w:tcMar>
              <w:top w:w="95" w:type="dxa"/>
              <w:bottom w:w="95" w:type="dxa"/>
              <w:left w:w="95" w:type="dxa"/>
              <w:right w:w="95" w:type="dxa"/>
            </w:tcMar>
          </w:tcPr>
          <w:p>
            <w:pPr>
              <w:spacing w:after="0" w:line="247" w:lineRule="auto"/>
            </w:pPr>
            <w:r>
              <w:rPr>
                <w:b w:val="0"/>
                <w:color w:val="000000"/>
                <w:sz w:val="21"/>
              </w:rPr>
              <w:t>Ingestion</w:t>
            </w:r>
          </w:p>
        </w:tc>
        <w:tc>
          <w:tcPr>
            <w:tcW w:type="dxa" w:w="8424"/>
            <w:vAlign w:val="center"/>
            <w:shd w:fill="FFFFFF"/>
            <w:tcMar>
              <w:top w:w="95" w:type="dxa"/>
              <w:bottom w:w="95" w:type="dxa"/>
              <w:left w:w="95" w:type="dxa"/>
              <w:right w:w="95" w:type="dxa"/>
            </w:tcMar>
          </w:tcPr>
          <w:p>
            <w:pPr>
              <w:spacing w:after="0" w:line="247" w:lineRule="auto"/>
            </w:pPr>
            <w:r>
              <w:rPr>
                <w:b w:val="0"/>
                <w:color w:val="000000"/>
                <w:sz w:val="21"/>
              </w:rPr>
              <w:t>Use controlled Blob uploads in DV/QA. Where mailbox ingestion is enabled, include the mailbox-to-Blob leg and confirm the input is accepted once.</w:t>
            </w:r>
          </w:p>
        </w:tc>
      </w:tr>
      <w:tr>
        <w:trPr>
          <w:cantSplit/>
        </w:trPr>
        <w:tc>
          <w:tcPr>
            <w:tcW w:type="dxa" w:w="1800"/>
            <w:vAlign w:val="center"/>
            <w:shd w:fill="FFFFFF"/>
            <w:tcMar>
              <w:top w:w="95" w:type="dxa"/>
              <w:bottom w:w="95" w:type="dxa"/>
              <w:left w:w="95" w:type="dxa"/>
              <w:right w:w="95" w:type="dxa"/>
            </w:tcMar>
          </w:tcPr>
          <w:p>
            <w:pPr>
              <w:spacing w:after="0" w:line="247" w:lineRule="auto"/>
            </w:pPr>
            <w:r>
              <w:rPr>
                <w:b w:val="0"/>
                <w:color w:val="000000"/>
                <w:sz w:val="21"/>
              </w:rPr>
              <w:t>Document processing</w:t>
            </w:r>
          </w:p>
        </w:tc>
        <w:tc>
          <w:tcPr>
            <w:tcW w:type="dxa" w:w="8424"/>
            <w:vAlign w:val="center"/>
            <w:shd w:fill="FFFFFF"/>
            <w:tcMar>
              <w:top w:w="95" w:type="dxa"/>
              <w:bottom w:w="95" w:type="dxa"/>
              <w:left w:w="95" w:type="dxa"/>
              <w:right w:w="95" w:type="dxa"/>
            </w:tcMar>
          </w:tcPr>
          <w:p>
            <w:pPr>
              <w:spacing w:after="0" w:line="247" w:lineRule="auto"/>
            </w:pPr>
            <w:r>
              <w:rPr>
                <w:b w:val="0"/>
                <w:color w:val="000000"/>
                <w:sz w:val="21"/>
              </w:rPr>
              <w:t>Confirm classification, Puller-triggered extraction, combined output, evaluation/deduplication and decision routing. Check expected Blob outputs and the related Cosmos DB pipeline records.</w:t>
            </w:r>
          </w:p>
        </w:tc>
      </w:tr>
      <w:tr>
        <w:trPr>
          <w:cantSplit/>
        </w:trPr>
        <w:tc>
          <w:tcPr>
            <w:tcW w:type="dxa" w:w="1800"/>
            <w:vAlign w:val="center"/>
            <w:shd w:fill="FFFFFF"/>
            <w:tcMar>
              <w:top w:w="95" w:type="dxa"/>
              <w:bottom w:w="95" w:type="dxa"/>
              <w:left w:w="95" w:type="dxa"/>
              <w:right w:w="95" w:type="dxa"/>
            </w:tcMar>
          </w:tcPr>
          <w:p>
            <w:pPr>
              <w:spacing w:after="0" w:line="247" w:lineRule="auto"/>
            </w:pPr>
            <w:r>
              <w:rPr>
                <w:b w:val="0"/>
                <w:color w:val="000000"/>
                <w:sz w:val="21"/>
              </w:rPr>
              <w:t>HITL routing</w:t>
            </w:r>
          </w:p>
        </w:tc>
        <w:tc>
          <w:tcPr>
            <w:tcW w:type="dxa" w:w="8424"/>
            <w:vAlign w:val="center"/>
            <w:shd w:fill="FFFFFF"/>
            <w:tcMar>
              <w:top w:w="95" w:type="dxa"/>
              <w:bottom w:w="95" w:type="dxa"/>
              <w:left w:w="95" w:type="dxa"/>
              <w:right w:w="95" w:type="dxa"/>
            </w:tcMar>
          </w:tcPr>
          <w:p>
            <w:pPr>
              <w:spacing w:after="0" w:line="247" w:lineRule="auto"/>
            </w:pPr>
            <w:r>
              <w:rPr>
                <w:b w:val="0"/>
                <w:color w:val="000000"/>
                <w:sz w:val="21"/>
              </w:rPr>
              <w:t>Test both the pass-through and review paths. QA or an authorised HITL tester confirms that a case reaches pending_review and can be completed with the expected final output.</w:t>
            </w:r>
          </w:p>
        </w:tc>
      </w:tr>
      <w:tr>
        <w:trPr>
          <w:cantSplit/>
        </w:trPr>
        <w:tc>
          <w:tcPr>
            <w:tcW w:type="dxa" w:w="1800"/>
            <w:vAlign w:val="center"/>
            <w:shd w:fill="FFFFFF"/>
            <w:tcMar>
              <w:top w:w="95" w:type="dxa"/>
              <w:bottom w:w="95" w:type="dxa"/>
              <w:left w:w="95" w:type="dxa"/>
              <w:right w:w="95" w:type="dxa"/>
            </w:tcMar>
          </w:tcPr>
          <w:p>
            <w:pPr>
              <w:spacing w:after="0" w:line="247" w:lineRule="auto"/>
            </w:pPr>
            <w:r>
              <w:rPr>
                <w:b w:val="0"/>
                <w:color w:val="000000"/>
                <w:sz w:val="21"/>
              </w:rPr>
              <w:t>Event Hub delivery</w:t>
            </w:r>
          </w:p>
        </w:tc>
        <w:tc>
          <w:tcPr>
            <w:tcW w:type="dxa" w:w="8424"/>
            <w:vAlign w:val="center"/>
            <w:shd w:fill="FFFFFF"/>
            <w:tcMar>
              <w:top w:w="95" w:type="dxa"/>
              <w:bottom w:w="95" w:type="dxa"/>
              <w:left w:w="95" w:type="dxa"/>
              <w:right w:w="95" w:type="dxa"/>
            </w:tcMar>
          </w:tcPr>
          <w:p>
            <w:pPr>
              <w:spacing w:after="0" w:line="247" w:lineRule="auto"/>
            </w:pPr>
            <w:r>
              <w:rPr>
                <w:b w:val="0"/>
                <w:color w:val="000000"/>
                <w:sz w:val="21"/>
              </w:rPr>
              <w:t>For the applicable review lifecycle, confirm that the HITL bridge queue consumer handles pending_review and completed events and publishes the expected pre-decision and post-HITL payloads. Check extras.metadata, including schema version, submission name and source-file names, against the agreed contract. Verify receipt on the correct environment hub; namespace-level activity alone is insufficient.</w:t>
            </w:r>
          </w:p>
        </w:tc>
      </w:tr>
      <w:tr>
        <w:trPr>
          <w:cantSplit/>
        </w:trPr>
        <w:tc>
          <w:tcPr>
            <w:tcW w:type="dxa" w:w="1800"/>
            <w:vAlign w:val="center"/>
            <w:shd w:fill="FFFFFF"/>
            <w:tcMar>
              <w:top w:w="95" w:type="dxa"/>
              <w:bottom w:w="95" w:type="dxa"/>
              <w:left w:w="95" w:type="dxa"/>
              <w:right w:w="95" w:type="dxa"/>
            </w:tcMar>
          </w:tcPr>
          <w:p>
            <w:pPr>
              <w:spacing w:after="0" w:line="247" w:lineRule="auto"/>
            </w:pPr>
            <w:r>
              <w:rPr>
                <w:b w:val="0"/>
                <w:color w:val="000000"/>
                <w:sz w:val="21"/>
              </w:rPr>
              <w:t>Service health</w:t>
            </w:r>
          </w:p>
        </w:tc>
        <w:tc>
          <w:tcPr>
            <w:tcW w:type="dxa" w:w="8424"/>
            <w:vAlign w:val="center"/>
            <w:shd w:fill="FFFFFF"/>
            <w:tcMar>
              <w:top w:w="95" w:type="dxa"/>
              <w:bottom w:w="95" w:type="dxa"/>
              <w:left w:w="95" w:type="dxa"/>
              <w:right w:w="95" w:type="dxa"/>
            </w:tcMar>
          </w:tcPr>
          <w:p>
            <w:pPr>
              <w:spacing w:after="0" w:line="247" w:lineRule="auto"/>
            </w:pPr>
            <w:r>
              <w:rPr>
                <w:b w:val="0"/>
                <w:color w:val="000000"/>
                <w:sz w:val="21"/>
              </w:rPr>
              <w:t>Check startup and dependency errors, authentication failures, processing delays, retries and dead-letter growth against the baseline. If login or access settings changed, include the affected user journey.</w:t>
            </w:r>
          </w:p>
        </w:tc>
      </w:tr>
    </w:tbl>
    <w:p>
      <w:pPr>
        <w:spacing w:after="0"/>
      </w:pPr>
    </w:p>
    <w:p>
      <w:pPr>
        <w:keepLines/>
      </w:pPr>
      <w:r>
        <w:rPr>
          <w:b/>
        </w:rPr>
        <w:t xml:space="preserve">9. Complete the release record. </w:t>
      </w:r>
      <w:r>
        <w:t>QA records the smoke-test result. The deployment owner confirms stable processing during the agreed observation period, attaches pipeline and validation evidence, and records any unresolved issues and their owners. Close the change only after the release acceptance criteria are met. If a critical check fails, stop promotion and assess rollback under section 8.3.</w:t>
      </w:r>
    </w:p>
    <w:p>
      <w:r>
        <w:br w:type="page"/>
      </w:r>
    </w:p>
    <w:p>
      <w:pPr>
        <w:pStyle w:val="Heading1"/>
      </w:pPr>
      <w:r>
        <w:t>8.3 Rollback Procedure</w:t>
      </w:r>
    </w:p>
    <w:p>
      <w:r>
        <w:t>Rollback restores the most recent release that was successfully deployed and operationally verified in the affected environment. Redeploy its retained application package with the matching configuration and shared-library version. Selecting the current main branches does not reliably reproduce that release.</w:t>
      </w:r>
      <w:r>
        <w:t xml:space="preserve"> </w:t>
      </w:r>
      <w:hyperlink r:id="rId13">
        <w:r>
          <w:rPr>
            <w:color w:val="1F4E79"/>
            <w:sz w:val="18"/>
          </w:rPr>
          <w:t>[Artifact selection guidance]</w:t>
        </w:r>
      </w:hyperlink>
    </w:p>
    <w:p>
      <w:r>
        <w:t>Consider rollback when the new release causes unavailable services, missing Function App triggers, stalled submissions, incorrect extraction or HITL routing, failed Event Hub delivery, or deterioration beyond the release acceptance criteria. Use the decision point recorded in the change to allow time for recovery and validation within the release window.</w:t>
      </w:r>
    </w:p>
    <w:p>
      <w:pPr>
        <w:pStyle w:val="Heading2"/>
      </w:pPr>
      <w:r>
        <w:t>Rollback steps</w:t>
      </w:r>
    </w:p>
    <w:p>
      <w:pPr>
        <w:keepLines/>
      </w:pPr>
      <w:r>
        <w:rPr>
          <w:b/>
        </w:rPr>
        <w:t xml:space="preserve">1. Record the decision and contain the impact. </w:t>
      </w:r>
      <w:r>
        <w:t>The deployment owner records the failure, affected components, time window and proposed recovery version, and obtains the approval required by section 8.1. Stop further promotion. If continued processing could produce incorrect results, use the pause point recorded for the change. Preserve incoming documents, queued and dead-lettered messages, existing outputs and diagnostic evidence.</w:t>
      </w:r>
    </w:p>
    <w:p>
      <w:pPr>
        <w:keepLines/>
      </w:pPr>
      <w:r>
        <w:rPr>
          <w:b/>
        </w:rPr>
        <w:t xml:space="preserve">2. Check compatibility before redeployment. </w:t>
      </w:r>
      <w:r>
        <w:t>Confirm the previous release can read the current data, pipeline definitions and queued message format. Identify any model, prompt, schema, identity or infrastructure changes that need separate reversal. If the old code cannot safely process the current state, agree a controlled fix or data-recovery plan before resuming processing.</w:t>
      </w:r>
    </w:p>
    <w:p>
      <w:pPr>
        <w:keepLines/>
      </w:pPr>
      <w:r>
        <w:rPr>
          <w:b/>
        </w:rPr>
        <w:t xml:space="preserve">3. Redeploy the selected release. </w:t>
      </w:r>
      <w:r>
        <w:t>Use the approved pipeline to deploy the retained package from the recorded successful run. Restore the required environment configuration and valid Key Vault references. Confirm both repository versions against the release record. Do not use a rebuild from the latest main branches as the rollback package. If the retained package is unavailable, reconstruct the release from the recorded revisions and locked dependencies, then validate it before deployment.</w:t>
      </w:r>
    </w:p>
    <w:p>
      <w:pPr>
        <w:keepLines/>
      </w:pPr>
      <w:r>
        <w:rPr>
          <w:b/>
        </w:rPr>
        <w:t xml:space="preserve">4. Verify recovery before resuming normal processing. </w:t>
      </w:r>
      <w:r>
        <w:t>Check service startup, function discovery, trigger operation and dependencies. Repeat the relevant section 8.2 smoke tests using identifiable submissions, including HITL and Event Hub checks where affected. Confirm that the original failure has cleared and that processing remains stable for the agreed observation period.</w:t>
      </w:r>
    </w:p>
    <w:p>
      <w:pPr>
        <w:keepLines/>
      </w:pPr>
      <w:r>
        <w:rPr>
          <w:b/>
        </w:rPr>
        <w:t xml:space="preserve">5. Reconcile affected submissions and close recovery. </w:t>
      </w:r>
      <w:r>
        <w:t>Identify submissions processed during the failure window and check their outputs and publication status before retrying them. Coordinate any Event Hub replay with the downstream consumer to avoid duplicate business records. Resume any paused processing, monitor the backlog and record the recovery result. Capture actual timings, link the incident and corrective work, and reconcile source-controlled configuration with the version left running.</w:t>
      </w:r>
    </w:p>
    <w:p>
      <w:r>
        <w:br w:type="page"/>
      </w:r>
    </w:p>
    <w:p>
      <w:pPr>
        <w:pStyle w:val="Heading2"/>
      </w:pPr>
      <w:r>
        <w:t>Recovery by component</w:t>
      </w:r>
    </w:p>
    <w:p>
      <w:r>
        <w:t>The application package covers only the components delivered with that package. Check separately managed assets against the release record and use the recovery action appropriate to each change.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659"/>
        <w:gridCol w:w="2693"/>
      </w:tblGrid>
      <w:tr>
        <w:trPr>
          <w:cantSplit/>
          <w:tblHeader/>
        </w:trPr>
        <w:tc>
          <w:tcPr>
            <w:tcW w:type="dxa" w:w="1872"/>
            <w:vAlign w:val="center"/>
            <w:shd w:fill="E8EDF2"/>
            <w:tcMar>
              <w:top w:w="95" w:type="dxa"/>
              <w:bottom w:w="95" w:type="dxa"/>
              <w:left w:w="95" w:type="dxa"/>
              <w:right w:w="95" w:type="dxa"/>
            </w:tcMar>
          </w:tcPr>
          <w:p>
            <w:pPr>
              <w:keepNext/>
              <w:spacing w:after="0" w:line="247" w:lineRule="auto"/>
            </w:pPr>
            <w:r>
              <w:rPr>
                <w:b/>
                <w:color w:val="000000"/>
                <w:sz w:val="21"/>
              </w:rPr>
              <w:t>Component</w:t>
            </w:r>
          </w:p>
        </w:tc>
        <w:tc>
          <w:tcPr>
            <w:tcW w:type="dxa" w:w="5659"/>
            <w:vAlign w:val="center"/>
            <w:shd w:fill="E8EDF2"/>
            <w:tcMar>
              <w:top w:w="95" w:type="dxa"/>
              <w:bottom w:w="95" w:type="dxa"/>
              <w:left w:w="95" w:type="dxa"/>
              <w:right w:w="95" w:type="dxa"/>
            </w:tcMar>
          </w:tcPr>
          <w:p>
            <w:pPr>
              <w:keepNext/>
              <w:spacing w:after="0" w:line="247" w:lineRule="auto"/>
            </w:pPr>
            <w:r>
              <w:rPr>
                <w:b/>
                <w:color w:val="000000"/>
                <w:sz w:val="21"/>
              </w:rPr>
              <w:t>Recovery action</w:t>
            </w:r>
          </w:p>
        </w:tc>
        <w:tc>
          <w:tcPr>
            <w:tcW w:type="dxa" w:w="2693"/>
            <w:vAlign w:val="center"/>
            <w:shd w:fill="E8EDF2"/>
            <w:tcMar>
              <w:top w:w="95" w:type="dxa"/>
              <w:bottom w:w="95" w:type="dxa"/>
              <w:left w:w="95" w:type="dxa"/>
              <w:right w:w="95" w:type="dxa"/>
            </w:tcMar>
          </w:tcPr>
          <w:p>
            <w:pPr>
              <w:keepNext/>
              <w:spacing w:after="0" w:line="247" w:lineRule="auto"/>
            </w:pPr>
            <w:r>
              <w:rPr>
                <w:b/>
                <w:color w:val="000000"/>
                <w:sz w:val="21"/>
              </w:rPr>
              <w:t>Time to record</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Application code and configuration</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Redeploy the retained release package and the compatible settings and secret references for the target environment.</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Pipeline execution, startup and smoke-test duration.</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Model version</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Where a model or Document Intelligence model reference changed, restore the previous approved reference. Confirm the model remains available and validate representative outputs. An application redeployment alone may not restore an external model.</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Reference/configuration deployment and inference validation; add model redeployment time if required.</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Prompts and pipeline definitions</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Where changed, restore the prior prompt/template version and pipeline definition or routing configuration through its release mechanism. Preserve execution history and retest extraction and decision behaviour.</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Configuration deployment and functional validation.</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Infrastructure</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Review the previous Bicep definition and parameters against the current state. Apply only the approved, compatible reversal. Incremental redeployment does not remove every resource introduced by the failed release.</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Infrastructure deployment and dependent-service validation.</w:t>
            </w:r>
          </w:p>
        </w:tc>
      </w:tr>
      <w:tr>
        <w:trPr>
          <w:cantSplit/>
        </w:trPr>
        <w:tc>
          <w:tcPr>
            <w:tcW w:type="dxa" w:w="1872"/>
            <w:vAlign w:val="center"/>
            <w:shd w:fill="FFFFFF"/>
            <w:tcMar>
              <w:top w:w="95" w:type="dxa"/>
              <w:bottom w:w="95" w:type="dxa"/>
              <w:left w:w="95" w:type="dxa"/>
              <w:right w:w="95" w:type="dxa"/>
            </w:tcMar>
          </w:tcPr>
          <w:p>
            <w:pPr>
              <w:spacing w:after="0" w:line="247" w:lineRule="auto"/>
            </w:pPr>
            <w:r>
              <w:rPr>
                <w:b w:val="0"/>
                <w:color w:val="000000"/>
                <w:sz w:val="21"/>
              </w:rPr>
              <w:t>Index and persistent data</w:t>
            </w:r>
          </w:p>
        </w:tc>
        <w:tc>
          <w:tcPr>
            <w:tcW w:type="dxa" w:w="5659"/>
            <w:vAlign w:val="center"/>
            <w:shd w:fill="FFFFFF"/>
            <w:tcMar>
              <w:top w:w="95" w:type="dxa"/>
              <w:bottom w:w="95" w:type="dxa"/>
              <w:left w:w="95" w:type="dxa"/>
              <w:right w:w="95" w:type="dxa"/>
            </w:tcMar>
          </w:tcPr>
          <w:p>
            <w:pPr>
              <w:spacing w:after="0" w:line="247" w:lineRule="auto"/>
            </w:pPr>
            <w:r>
              <w:rPr>
                <w:b w:val="0"/>
                <w:color w:val="000000"/>
                <w:sz w:val="21"/>
              </w:rPr>
              <w:t>Use index rollback only where the release includes an index, with a documented version switch or rebuild path. Recover Cosmos DB or Blob contents through the configured backup/recovery process when necessary, with the data owner agreeing the restore point and reconciliation.</w:t>
            </w:r>
          </w:p>
        </w:tc>
        <w:tc>
          <w:tcPr>
            <w:tcW w:type="dxa" w:w="2693"/>
            <w:vAlign w:val="center"/>
            <w:shd w:fill="FFFFFF"/>
            <w:tcMar>
              <w:top w:w="95" w:type="dxa"/>
              <w:bottom w:w="95" w:type="dxa"/>
              <w:left w:w="95" w:type="dxa"/>
              <w:right w:w="95" w:type="dxa"/>
            </w:tcMar>
          </w:tcPr>
          <w:p>
            <w:pPr>
              <w:spacing w:after="0" w:line="247" w:lineRule="auto"/>
            </w:pPr>
            <w:r>
              <w:rPr>
                <w:b w:val="0"/>
                <w:color w:val="000000"/>
                <w:sz w:val="21"/>
              </w:rPr>
              <w:t>Restore or rebuild, reconciliation and validation; dependent on volume and recovery method.</w:t>
            </w:r>
          </w:p>
        </w:tc>
      </w:tr>
    </w:tbl>
    <w:p>
      <w:pPr>
        <w:spacing w:after="0"/>
      </w:pPr>
    </w:p>
    <w:p>
      <w:r>
        <w:t>Review infrastructure reversals for resources or settings that remain after redeployment. Application rollback does not undo documents already written, completed HITL actions or events already delivered to downstream consumers.</w:t>
      </w:r>
      <w:r>
        <w:t xml:space="preserve"> </w:t>
      </w:r>
      <w:hyperlink r:id="rId14">
        <w:r>
          <w:rPr>
            <w:color w:val="1F4E79"/>
            <w:sz w:val="18"/>
          </w:rPr>
          <w:t>[Deployment modes]</w:t>
        </w:r>
      </w:hyperlink>
    </w:p>
    <w:p>
      <w:r>
        <w:t>For data recovery, confirm the enabled backup mode, retention and recoverable timestamp before execution. Keep the affected data available for investigation and validate the recovered result before reconnecting normal processing.</w:t>
      </w:r>
      <w:r>
        <w:t xml:space="preserve"> </w:t>
      </w:r>
      <w:hyperlink r:id="rId15">
        <w:r>
          <w:rPr>
            <w:color w:val="1F4E79"/>
            <w:sz w:val="18"/>
          </w:rPr>
          <w:t>[Cosmos DB recovery guidance]</w:t>
        </w:r>
      </w:hyperlink>
    </w:p>
    <w:p>
      <w:pPr>
        <w:pStyle w:val="Heading2"/>
      </w:pPr>
      <w:r>
        <w:t>Recovery duration</w:t>
      </w:r>
    </w:p>
    <w:p>
      <w:r>
        <w:t>Record expected minutes for each applicable component in the change record using the latest successful rehearsal or comparable recovery in the same environment. Include pipeline execution, service startup and QA validation, and account separately for approval time, data recovery and backlog clearance. Confirm that the recovery can fit within the release window. Fixed rollback times remain to be established through measurement; they should not be presented as an agreed recovery commitment.</w:t>
      </w:r>
    </w:p>
    <w:sectPr w:rsidR="00FC693F" w:rsidRPr="0006063C" w:rsidSect="00034616">
      <w:headerReference w:type="default" r:id="rId9"/>
      <w:footerReference w:type="default" r:id="rId10"/>
      <w:pgSz w:w="12240" w:h="15840"/>
      <w:pgMar w:top="965"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Draft for review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AXA  |  Azure Document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azure-resource-manager/bicep/deploy-what-if" TargetMode="External"/><Relationship Id="rId12" Type="http://schemas.openxmlformats.org/officeDocument/2006/relationships/hyperlink" Target="https://learn.microsoft.com/en-us/azure/azure-functions/functions-deployment-technologies" TargetMode="External"/><Relationship Id="rId13" Type="http://schemas.openxmlformats.org/officeDocument/2006/relationships/hyperlink" Target="https://learn.microsoft.com/en-us/azure/devops/pipelines/artifacts/pipeline-artifacts?view=azure-devops" TargetMode="External"/><Relationship Id="rId14" Type="http://schemas.openxmlformats.org/officeDocument/2006/relationships/hyperlink" Target="https://learn.microsoft.com/en-us/azure/azure-resource-manager/templates/deployment-modes" TargetMode="External"/><Relationship Id="rId15" Type="http://schemas.openxmlformats.org/officeDocument/2006/relationships/hyperlink" Target="https://learn.microsoft.com/en-us/azure/cosmos-db/continuous-backup-restore-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 Fleet Project Runbook Sections 8.2 and 8.3</dc:title>
  <dc:subject>Standard deployment and rollback procedures</dc:subject>
  <dc:creator/>
  <cp:keywords>ADU, DU, deployment, rollback, Azure DevOps</cp:keywords>
  <dc:description>generated by python-docx</dc:description>
  <cp:lastModifiedBy/>
  <cp:revision>1</cp:revision>
  <dcterms:created xsi:type="dcterms:W3CDTF">2013-12-23T23:15:00Z</dcterms:created>
  <dcterms:modified xsi:type="dcterms:W3CDTF">2013-12-23T23:15:00Z</dcterms:modified>
  <cp:category/>
</cp:coreProperties>
</file>