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5CA8" w14:textId="0CCD54D8" w:rsidR="004D087A" w:rsidRDefault="004D087A" w:rsidP="009433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SAMYUKTA BALAJI</w:t>
      </w:r>
    </w:p>
    <w:p w14:paraId="047BED0A" w14:textId="3C383006" w:rsidR="004D087A" w:rsidRPr="00943377" w:rsidRDefault="00943377" w:rsidP="00943377">
      <w:pPr>
        <w:jc w:val="right"/>
        <w:rPr>
          <w:rFonts w:ascii="Times New Roman" w:hAnsi="Times New Roman" w:cs="Times New Roman"/>
          <w:sz w:val="28"/>
          <w:szCs w:val="28"/>
        </w:rPr>
      </w:pPr>
      <w:r w:rsidRPr="00943377">
        <w:rPr>
          <w:rFonts w:ascii="Times New Roman" w:hAnsi="Times New Roman" w:cs="Times New Roman"/>
          <w:sz w:val="28"/>
          <w:szCs w:val="28"/>
        </w:rPr>
        <w:t>https://www.linkedin.com/in/samyuktabalaji/</w:t>
      </w:r>
    </w:p>
    <w:p w14:paraId="729C73ED" w14:textId="52972F0B" w:rsidR="004D087A" w:rsidRPr="004D087A" w:rsidRDefault="004D087A" w:rsidP="0094337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PROJECT - 2</w:t>
      </w:r>
    </w:p>
    <w:p w14:paraId="76E5DF22" w14:textId="77777777" w:rsidR="004D087A" w:rsidRDefault="004D087A">
      <w:pPr>
        <w:rPr>
          <w:rFonts w:ascii="Times New Roman" w:hAnsi="Times New Roman" w:cs="Times New Roman"/>
        </w:rPr>
      </w:pPr>
    </w:p>
    <w:p w14:paraId="0E198B66" w14:textId="7718363E" w:rsidR="00662BC4" w:rsidRPr="004D087A" w:rsidRDefault="004D087A">
      <w:pPr>
        <w:rPr>
          <w:rFonts w:ascii="Arial Nova" w:hAnsi="Arial Nova" w:cs="Times New Roman"/>
          <w:b/>
          <w:bCs/>
        </w:rPr>
      </w:pPr>
      <w:r w:rsidRPr="004D087A">
        <w:rPr>
          <w:rFonts w:ascii="Arial Nova" w:hAnsi="Arial Nova" w:cs="Times New Roman"/>
          <w:b/>
          <w:bCs/>
        </w:rPr>
        <w:t>1.Which state has the highest number of hotels? Depict this via a bar graph that compares all states.</w:t>
      </w:r>
    </w:p>
    <w:p w14:paraId="6332D6FE" w14:textId="1499A485" w:rsidR="004D087A" w:rsidRDefault="004D087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B488BD" wp14:editId="4A69059A">
            <wp:extent cx="6438900" cy="6164580"/>
            <wp:effectExtent l="0" t="0" r="0" b="7620"/>
            <wp:docPr id="214074633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E15D659-22F8-7D15-FBE7-5CDCF3E2C8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42620AA" w14:textId="77777777" w:rsidR="004978B8" w:rsidRDefault="004D087A">
      <w:pPr>
        <w:rPr>
          <w:rFonts w:ascii="Arial Nova" w:hAnsi="Arial Nova" w:cs="Times New Roman"/>
        </w:rPr>
      </w:pPr>
      <w:r w:rsidRPr="004D087A">
        <w:rPr>
          <w:rFonts w:ascii="Arial Nova" w:hAnsi="Arial Nova" w:cs="Times New Roman"/>
        </w:rPr>
        <w:t>From the above bar plot, we can infer that Kerala is the state with the highest number of hotels. It has 672000 hotels.</w:t>
      </w:r>
    </w:p>
    <w:p w14:paraId="1DB05A8A" w14:textId="7BCCA014" w:rsidR="004D087A" w:rsidRPr="004978B8" w:rsidRDefault="004D087A">
      <w:pPr>
        <w:rPr>
          <w:rFonts w:ascii="Arial Nova" w:hAnsi="Arial Nova" w:cs="Times New Roman"/>
        </w:rPr>
      </w:pPr>
      <w:r w:rsidRPr="004D087A">
        <w:rPr>
          <w:rFonts w:ascii="Arial Nova" w:hAnsi="Arial Nova" w:cs="Times New Roman"/>
          <w:b/>
          <w:bCs/>
        </w:rPr>
        <w:lastRenderedPageBreak/>
        <w:t>2.Which states have three types of climatic conditions? (convert the map, an unstructured data, to an Excel file in a structured format and mention the number of climates along with the state)</w:t>
      </w:r>
    </w:p>
    <w:p w14:paraId="3BE97D6C" w14:textId="75C00E45" w:rsidR="004D087A" w:rsidRPr="004978B8" w:rsidRDefault="004978B8">
      <w:pPr>
        <w:rPr>
          <w:rFonts w:ascii="Times New Roman" w:hAnsi="Times New Roman" w:cs="Times New Roman"/>
        </w:rPr>
      </w:pPr>
      <w:r w:rsidRPr="004978B8">
        <w:rPr>
          <w:noProof/>
        </w:rPr>
        <w:drawing>
          <wp:inline distT="0" distB="0" distL="0" distR="0" wp14:anchorId="23F4F078" wp14:editId="472C4952">
            <wp:extent cx="6188710" cy="4474845"/>
            <wp:effectExtent l="0" t="0" r="2540" b="1905"/>
            <wp:docPr id="589014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2C766" w14:textId="34AD5037" w:rsidR="004978B8" w:rsidRDefault="004D087A">
      <w:r w:rsidRPr="004D087A">
        <w:rPr>
          <w:rFonts w:ascii="Arial Nova" w:hAnsi="Arial Nova" w:cs="Times New Roman"/>
          <w:b/>
          <w:bCs/>
        </w:rPr>
        <w:t>States with three types of climatic conditions:</w:t>
      </w:r>
      <w:r w:rsidR="004978B8">
        <w:fldChar w:fldCharType="begin"/>
      </w:r>
      <w:r w:rsidR="004978B8">
        <w:instrText xml:space="preserve"> LINK </w:instrText>
      </w:r>
      <w:r w:rsidR="00623E3A">
        <w:instrText xml:space="preserve">Excel.Sheet.12 "D:\\Resources\\Finlatics\\Feb 6\\Samyukta_Finlatics_Project2.xlsx" 3_climate!R1C1:R17C2 </w:instrText>
      </w:r>
      <w:r w:rsidR="004978B8">
        <w:instrText xml:space="preserve">\a \f 4 \h </w:instrText>
      </w:r>
      <w:r w:rsidR="004978B8">
        <w:fldChar w:fldCharType="separate"/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5860"/>
        <w:gridCol w:w="460"/>
      </w:tblGrid>
      <w:tr w:rsidR="004978B8" w:rsidRPr="004978B8" w14:paraId="2E5BED6E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B3FAE2" w14:textId="06B454B8" w:rsidR="004978B8" w:rsidRPr="004978B8" w:rsidRDefault="004978B8" w:rsidP="004978B8">
            <w:pPr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No of Climates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ACB300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3</w:t>
            </w:r>
          </w:p>
        </w:tc>
      </w:tr>
      <w:tr w:rsidR="004978B8" w:rsidRPr="004978B8" w14:paraId="14EA39DE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540E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4E50" w14:textId="77777777" w:rsidR="004978B8" w:rsidRPr="004978B8" w:rsidRDefault="004978B8" w:rsidP="004978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ar-SA"/>
                <w14:ligatures w14:val="none"/>
              </w:rPr>
            </w:pPr>
          </w:p>
        </w:tc>
      </w:tr>
      <w:tr w:rsidR="004978B8" w:rsidRPr="004978B8" w14:paraId="42CBC757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8BAB537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Row Labels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E855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16CE95EF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AB32DE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Gujarat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3575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2AFF1806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AFCB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Tropical semi-arid, Subtropical semi-arid, Savannah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6BA8A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37EE2031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497A7F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Haryana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0538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6AA53153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D28A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Subtropical semi-arid, Tropical semi-arid, Subtropical Humid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D0B4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1A069CB6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62363C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Himachal Pradesh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8A03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30D195EC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C345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Subtropical Humid, Mountain, Tropical semi-arid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D6AE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0D8E61C1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7147DD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Karnataka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CDEA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7378F128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D120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Tropical monsoon, Tropical semi-arid, Savannah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9250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0555F3FD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C89388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Madhya Pradesh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6F99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213F96E6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EC3E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Savannah, Subtropical Humid, Tropical semi-arid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F212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347FB563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8CC0DC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Tamil Nadu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8073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2773D78D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6950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Tropical monsoon, Tropical semi-arid, Savannah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ED71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3BB38912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210B59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West Bengal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27FA" w14:textId="77777777" w:rsidR="004978B8" w:rsidRPr="004978B8" w:rsidRDefault="004978B8" w:rsidP="004978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  <w:tr w:rsidR="004978B8" w:rsidRPr="004978B8" w14:paraId="5FF1C232" w14:textId="77777777" w:rsidTr="004978B8">
        <w:trPr>
          <w:divId w:val="1268349383"/>
          <w:trHeight w:val="288"/>
        </w:trPr>
        <w:tc>
          <w:tcPr>
            <w:tcW w:w="5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5CEA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4978B8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Savannah, Subtropical Humid, Mountain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73FE" w14:textId="77777777" w:rsidR="004978B8" w:rsidRPr="004978B8" w:rsidRDefault="004978B8" w:rsidP="004978B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</w:p>
        </w:tc>
      </w:tr>
    </w:tbl>
    <w:p w14:paraId="7FD3FD6B" w14:textId="63F05849" w:rsidR="004D087A" w:rsidRPr="004978B8" w:rsidRDefault="004978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end"/>
      </w:r>
      <w:r w:rsidR="004D087A" w:rsidRPr="00941F9B">
        <w:rPr>
          <w:rFonts w:ascii="Arial Nova" w:hAnsi="Arial Nova" w:cs="Times New Roman"/>
          <w:b/>
          <w:bCs/>
        </w:rPr>
        <w:t>3.</w:t>
      </w:r>
      <w:r w:rsidR="00941F9B" w:rsidRPr="00941F9B">
        <w:rPr>
          <w:rFonts w:ascii="Arial Nova" w:hAnsi="Arial Nova"/>
          <w:b/>
          <w:bCs/>
        </w:rPr>
        <w:t xml:space="preserve"> </w:t>
      </w:r>
      <w:r w:rsidR="00941F9B" w:rsidRPr="00941F9B">
        <w:rPr>
          <w:rFonts w:ascii="Arial Nova" w:hAnsi="Arial Nova" w:cs="Times New Roman"/>
          <w:b/>
          <w:bCs/>
        </w:rPr>
        <w:t>Among the northeastern states which are best to set up a hotel? Use Clustered Column Chart and give recommendations for hotel industry investors.</w:t>
      </w:r>
    </w:p>
    <w:tbl>
      <w:tblPr>
        <w:tblW w:w="5820" w:type="dxa"/>
        <w:tblLook w:val="04A0" w:firstRow="1" w:lastRow="0" w:firstColumn="1" w:lastColumn="0" w:noHBand="0" w:noVBand="1"/>
      </w:tblPr>
      <w:tblGrid>
        <w:gridCol w:w="1740"/>
        <w:gridCol w:w="2140"/>
        <w:gridCol w:w="1940"/>
      </w:tblGrid>
      <w:tr w:rsidR="00941F9B" w:rsidRPr="00941F9B" w14:paraId="1F678130" w14:textId="77777777" w:rsidTr="00941F9B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209E78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Row Labels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6C5E46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Sum of No of Climates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6986DC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Sum of No of Hotels</w:t>
            </w:r>
          </w:p>
        </w:tc>
      </w:tr>
      <w:tr w:rsidR="00941F9B" w:rsidRPr="00941F9B" w14:paraId="080B0DE9" w14:textId="77777777" w:rsidTr="00941F9B">
        <w:trPr>
          <w:trHeight w:val="864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CB0E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Arunachal Pradesh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AFE7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0642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5000</w:t>
            </w:r>
          </w:p>
        </w:tc>
      </w:tr>
      <w:tr w:rsidR="00941F9B" w:rsidRPr="00941F9B" w14:paraId="5F3754A0" w14:textId="77777777" w:rsidTr="00941F9B">
        <w:trPr>
          <w:trHeight w:val="576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67E8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Assam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F4F7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7EB8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25000</w:t>
            </w:r>
          </w:p>
        </w:tc>
      </w:tr>
      <w:tr w:rsidR="00941F9B" w:rsidRPr="00941F9B" w14:paraId="61C632B9" w14:textId="77777777" w:rsidTr="00941F9B">
        <w:trPr>
          <w:trHeight w:val="576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5AA9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Manipur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EBBF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0DCE0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3000</w:t>
            </w:r>
          </w:p>
        </w:tc>
      </w:tr>
      <w:tr w:rsidR="00941F9B" w:rsidRPr="00941F9B" w14:paraId="4EBEEEE6" w14:textId="77777777" w:rsidTr="00941F9B">
        <w:trPr>
          <w:trHeight w:val="864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C9A3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Meghalaya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314D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54ED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2000</w:t>
            </w:r>
          </w:p>
        </w:tc>
      </w:tr>
      <w:tr w:rsidR="00941F9B" w:rsidRPr="00941F9B" w14:paraId="67C3DE78" w14:textId="77777777" w:rsidTr="00941F9B">
        <w:trPr>
          <w:trHeight w:val="576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CF7D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Mizoram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B165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585E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1000</w:t>
            </w:r>
          </w:p>
        </w:tc>
      </w:tr>
      <w:tr w:rsidR="00941F9B" w:rsidRPr="00941F9B" w14:paraId="15F0A764" w14:textId="77777777" w:rsidTr="00941F9B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9701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Nagaland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F368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A1CA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1000</w:t>
            </w:r>
          </w:p>
        </w:tc>
      </w:tr>
      <w:tr w:rsidR="00941F9B" w:rsidRPr="00941F9B" w14:paraId="2FDC2237" w14:textId="77777777" w:rsidTr="00941F9B">
        <w:trPr>
          <w:trHeight w:val="1152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551C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Sikkim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EC57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27EEE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12000</w:t>
            </w:r>
          </w:p>
        </w:tc>
      </w:tr>
      <w:tr w:rsidR="00941F9B" w:rsidRPr="00941F9B" w14:paraId="230FDC27" w14:textId="77777777" w:rsidTr="00941F9B">
        <w:trPr>
          <w:trHeight w:val="288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62D6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Tripura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70D4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3AA0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color w:val="000000"/>
                <w:kern w:val="0"/>
                <w:lang w:eastAsia="en-IN" w:bidi="ar-SA"/>
                <w14:ligatures w14:val="none"/>
              </w:rPr>
              <w:t>1000</w:t>
            </w:r>
          </w:p>
        </w:tc>
      </w:tr>
      <w:tr w:rsidR="00941F9B" w:rsidRPr="00941F9B" w14:paraId="23E73904" w14:textId="77777777" w:rsidTr="00941F9B">
        <w:trPr>
          <w:trHeight w:val="288"/>
        </w:trPr>
        <w:tc>
          <w:tcPr>
            <w:tcW w:w="17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27D7758" w14:textId="77777777" w:rsidR="00941F9B" w:rsidRPr="00941F9B" w:rsidRDefault="00941F9B" w:rsidP="00941F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Grand Total</w:t>
            </w:r>
          </w:p>
        </w:tc>
        <w:tc>
          <w:tcPr>
            <w:tcW w:w="21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2584722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10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FADA6DC" w14:textId="77777777" w:rsidR="00941F9B" w:rsidRPr="00941F9B" w:rsidRDefault="00941F9B" w:rsidP="00941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</w:pPr>
            <w:r w:rsidRPr="00941F9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 w:bidi="ar-SA"/>
                <w14:ligatures w14:val="none"/>
              </w:rPr>
              <w:t>50000</w:t>
            </w:r>
          </w:p>
        </w:tc>
      </w:tr>
    </w:tbl>
    <w:p w14:paraId="339808CD" w14:textId="77777777" w:rsidR="00941F9B" w:rsidRDefault="00941F9B">
      <w:pPr>
        <w:rPr>
          <w:rFonts w:ascii="Arial Nova" w:hAnsi="Arial Nova" w:cs="Times New Roman"/>
        </w:rPr>
      </w:pPr>
    </w:p>
    <w:p w14:paraId="54EDD922" w14:textId="4894E061" w:rsidR="00941F9B" w:rsidRDefault="00941F9B">
      <w:pPr>
        <w:rPr>
          <w:rFonts w:ascii="Arial Nova" w:hAnsi="Arial Nova" w:cs="Times New Roman"/>
        </w:rPr>
      </w:pPr>
      <w:r>
        <w:rPr>
          <w:noProof/>
        </w:rPr>
        <w:drawing>
          <wp:inline distT="0" distB="0" distL="0" distR="0" wp14:anchorId="1270C973" wp14:editId="285D8741">
            <wp:extent cx="5067300" cy="4206240"/>
            <wp:effectExtent l="0" t="0" r="0" b="3810"/>
            <wp:docPr id="99487242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D53147-9A44-CAEF-D5A0-9CE026D65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E85096" w14:textId="77777777" w:rsidR="00941F9B" w:rsidRPr="00941F9B" w:rsidRDefault="00941F9B" w:rsidP="00941F9B">
      <w:pPr>
        <w:rPr>
          <w:rFonts w:ascii="Arial Nova" w:hAnsi="Arial Nova" w:cs="Times New Roman"/>
        </w:rPr>
      </w:pPr>
      <w:r w:rsidRPr="00941F9B">
        <w:rPr>
          <w:rFonts w:ascii="Arial Nova" w:hAnsi="Arial Nova" w:cs="Times New Roman"/>
          <w:b/>
          <w:bCs/>
        </w:rPr>
        <w:lastRenderedPageBreak/>
        <w:t>Arunachal Pradesh</w:t>
      </w:r>
      <w:r w:rsidRPr="00941F9B">
        <w:rPr>
          <w:rFonts w:ascii="Arial Nova" w:hAnsi="Arial Nova" w:cs="Times New Roman"/>
        </w:rPr>
        <w:t>: With 5000 hotels and a climate that includes subtropical humid and mountainous regions, Arunachal Pradesh could be a good option for hotel investors. The diverse climate can attract tourists seeking different experiences.</w:t>
      </w:r>
    </w:p>
    <w:p w14:paraId="0B683BA6" w14:textId="77777777" w:rsidR="00941F9B" w:rsidRPr="00941F9B" w:rsidRDefault="00941F9B" w:rsidP="00941F9B">
      <w:pPr>
        <w:rPr>
          <w:rFonts w:ascii="Arial Nova" w:hAnsi="Arial Nova" w:cs="Times New Roman"/>
        </w:rPr>
      </w:pPr>
      <w:r w:rsidRPr="00941F9B">
        <w:rPr>
          <w:rFonts w:ascii="Arial Nova" w:hAnsi="Arial Nova" w:cs="Times New Roman"/>
          <w:b/>
          <w:bCs/>
        </w:rPr>
        <w:t>Assam</w:t>
      </w:r>
      <w:r w:rsidRPr="00941F9B">
        <w:rPr>
          <w:rFonts w:ascii="Arial Nova" w:hAnsi="Arial Nova" w:cs="Times New Roman"/>
        </w:rPr>
        <w:t>: Assam has the highest number of hotels (25000) and a diverse climate, making it a potentially lucrative option for the hotel industry.</w:t>
      </w:r>
    </w:p>
    <w:p w14:paraId="38C508C7" w14:textId="77777777" w:rsidR="00941F9B" w:rsidRPr="00941F9B" w:rsidRDefault="00941F9B" w:rsidP="00941F9B">
      <w:pPr>
        <w:rPr>
          <w:rFonts w:ascii="Arial Nova" w:hAnsi="Arial Nova" w:cs="Times New Roman"/>
        </w:rPr>
      </w:pPr>
      <w:r w:rsidRPr="00941F9B">
        <w:rPr>
          <w:rFonts w:ascii="Arial Nova" w:hAnsi="Arial Nova" w:cs="Times New Roman"/>
          <w:b/>
          <w:bCs/>
        </w:rPr>
        <w:t>Sikkim</w:t>
      </w:r>
      <w:r w:rsidRPr="00941F9B">
        <w:rPr>
          <w:rFonts w:ascii="Arial Nova" w:hAnsi="Arial Nova" w:cs="Times New Roman"/>
        </w:rPr>
        <w:t>: Sikkim, with 12000 hotels and a mountainous climate, could also be a good choice, especially for those interested in mountain tourism.</w:t>
      </w:r>
    </w:p>
    <w:p w14:paraId="79EE79FB" w14:textId="77777777" w:rsidR="00941F9B" w:rsidRPr="00941F9B" w:rsidRDefault="00941F9B" w:rsidP="00941F9B">
      <w:pPr>
        <w:rPr>
          <w:rFonts w:ascii="Arial Nova" w:hAnsi="Arial Nova" w:cs="Times New Roman"/>
        </w:rPr>
      </w:pPr>
      <w:r w:rsidRPr="00941F9B">
        <w:rPr>
          <w:rFonts w:ascii="Arial Nova" w:hAnsi="Arial Nova" w:cs="Times New Roman"/>
          <w:b/>
          <w:bCs/>
        </w:rPr>
        <w:t>Manipur, Meghalaya, Mizoram, Nagaland</w:t>
      </w:r>
      <w:r w:rsidRPr="00941F9B">
        <w:rPr>
          <w:rFonts w:ascii="Arial Nova" w:hAnsi="Arial Nova" w:cs="Times New Roman"/>
        </w:rPr>
        <w:t>: These states have a moderate number of hotels and a subtropical humid climate. While they may not have as many hotels as Assam, they could still be attractive for investors looking for less competitive markets.</w:t>
      </w:r>
    </w:p>
    <w:p w14:paraId="4CCA7B28" w14:textId="77777777" w:rsidR="00941F9B" w:rsidRPr="00941F9B" w:rsidRDefault="00941F9B" w:rsidP="00941F9B">
      <w:pPr>
        <w:rPr>
          <w:rFonts w:ascii="Arial Nova" w:hAnsi="Arial Nova" w:cs="Times New Roman"/>
        </w:rPr>
      </w:pPr>
      <w:r w:rsidRPr="00941F9B">
        <w:rPr>
          <w:rFonts w:ascii="Arial Nova" w:hAnsi="Arial Nova" w:cs="Times New Roman"/>
          <w:b/>
          <w:bCs/>
        </w:rPr>
        <w:t>Tripura</w:t>
      </w:r>
      <w:r w:rsidRPr="00941F9B">
        <w:rPr>
          <w:rFonts w:ascii="Arial Nova" w:hAnsi="Arial Nova" w:cs="Times New Roman"/>
        </w:rPr>
        <w:t>: With 1000 hotels and a tropical monsoon climate, Tripura may have potential for investors interested in exploring diverse climates.</w:t>
      </w:r>
    </w:p>
    <w:p w14:paraId="0EE399CE" w14:textId="77777777" w:rsidR="00941F9B" w:rsidRPr="00941F9B" w:rsidRDefault="00941F9B" w:rsidP="00941F9B">
      <w:pPr>
        <w:rPr>
          <w:rFonts w:ascii="Arial Nova" w:hAnsi="Arial Nova" w:cs="Times New Roman"/>
        </w:rPr>
      </w:pPr>
    </w:p>
    <w:p w14:paraId="424A5FA9" w14:textId="4C90395E" w:rsidR="00941F9B" w:rsidRDefault="00941F9B" w:rsidP="00941F9B">
      <w:pPr>
        <w:rPr>
          <w:rFonts w:ascii="Arial Nova" w:hAnsi="Arial Nova" w:cs="Times New Roman"/>
        </w:rPr>
      </w:pPr>
      <w:r w:rsidRPr="00941F9B">
        <w:rPr>
          <w:rFonts w:ascii="Arial Nova" w:hAnsi="Arial Nova" w:cs="Times New Roman"/>
        </w:rPr>
        <w:t>In conclusion, Assam, Arunachal Pradesh, and Sikkim seem to be promising options for hotel industry investors due to the combination of a significant number of hotels and diverse climates. The final decision should also consider other factors like infrastructure, local attractions, and potential market demand.</w:t>
      </w:r>
    </w:p>
    <w:p w14:paraId="15032A57" w14:textId="77777777" w:rsidR="00941F9B" w:rsidRDefault="00941F9B" w:rsidP="00941F9B">
      <w:pPr>
        <w:rPr>
          <w:rFonts w:ascii="Arial Nova" w:hAnsi="Arial Nova" w:cs="Times New Roman"/>
        </w:rPr>
      </w:pPr>
    </w:p>
    <w:p w14:paraId="714056F0" w14:textId="50BB18ED" w:rsidR="00941F9B" w:rsidRDefault="00941F9B" w:rsidP="00941F9B">
      <w:pPr>
        <w:rPr>
          <w:rFonts w:ascii="Arial Nova" w:hAnsi="Arial Nova" w:cs="Times New Roman"/>
          <w:b/>
          <w:bCs/>
        </w:rPr>
      </w:pPr>
      <w:r w:rsidRPr="00941F9B">
        <w:rPr>
          <w:rFonts w:ascii="Arial Nova" w:hAnsi="Arial Nova" w:cs="Times New Roman"/>
          <w:b/>
          <w:bCs/>
        </w:rPr>
        <w:t>4.</w:t>
      </w:r>
      <w:r w:rsidRPr="00941F9B">
        <w:rPr>
          <w:b/>
          <w:bCs/>
        </w:rPr>
        <w:t xml:space="preserve"> </w:t>
      </w:r>
      <w:r w:rsidRPr="00941F9B">
        <w:rPr>
          <w:rFonts w:ascii="Arial Nova" w:hAnsi="Arial Nova" w:cs="Times New Roman"/>
          <w:b/>
          <w:bCs/>
        </w:rPr>
        <w:t>Customise the pivot charts to add/change the fields in the fields list with other fields and by using chart styles to customise the charts. (choose the data and parameters according to your choice)</w:t>
      </w:r>
    </w:p>
    <w:p w14:paraId="2937649F" w14:textId="77777777" w:rsidR="00011152" w:rsidRDefault="00011152" w:rsidP="00941F9B">
      <w:pPr>
        <w:rPr>
          <w:rFonts w:ascii="Arial Nova" w:hAnsi="Arial Nova" w:cs="Times New Roman"/>
          <w:b/>
          <w:bCs/>
        </w:rPr>
      </w:pPr>
    </w:p>
    <w:p w14:paraId="15E1E0D9" w14:textId="63D23396" w:rsidR="00402301" w:rsidRPr="00941F9B" w:rsidRDefault="00143BD3" w:rsidP="00941F9B">
      <w:pPr>
        <w:rPr>
          <w:rFonts w:ascii="Arial Nova" w:hAnsi="Arial Nova" w:cs="Times New Roman"/>
          <w:b/>
          <w:bCs/>
        </w:rPr>
      </w:pPr>
      <w:r>
        <w:rPr>
          <w:noProof/>
        </w:rPr>
        <w:drawing>
          <wp:inline distT="0" distB="0" distL="0" distR="0" wp14:anchorId="1211FDA7" wp14:editId="552180F2">
            <wp:extent cx="6188710" cy="3503295"/>
            <wp:effectExtent l="0" t="0" r="2540" b="1905"/>
            <wp:docPr id="122424532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F2706C-F440-D3D5-B819-3224B9997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6B1E2B" w14:textId="0797FF25" w:rsidR="00941F9B" w:rsidRDefault="00941F9B" w:rsidP="00941F9B">
      <w:pPr>
        <w:rPr>
          <w:rFonts w:ascii="Arial Nova" w:hAnsi="Arial Nova" w:cs="Times New Roman"/>
        </w:rPr>
      </w:pPr>
      <w:r>
        <w:rPr>
          <w:noProof/>
        </w:rPr>
        <w:lastRenderedPageBreak/>
        <w:drawing>
          <wp:inline distT="0" distB="0" distL="0" distR="0" wp14:anchorId="6D23D2B4" wp14:editId="00410D05">
            <wp:extent cx="5539740" cy="7010400"/>
            <wp:effectExtent l="0" t="0" r="3810" b="0"/>
            <wp:docPr id="17640814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72F9CC-3236-4A64-7079-03EABF9036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83F7F3B" w14:textId="77777777" w:rsidR="00D36333" w:rsidRDefault="00D36333" w:rsidP="00941F9B">
      <w:pPr>
        <w:rPr>
          <w:rFonts w:ascii="Arial Nova" w:hAnsi="Arial Nova" w:cs="Times New Roman"/>
          <w:b/>
          <w:bCs/>
        </w:rPr>
      </w:pPr>
    </w:p>
    <w:p w14:paraId="391CBC31" w14:textId="77777777" w:rsidR="00523768" w:rsidRDefault="00523768" w:rsidP="00941F9B">
      <w:pPr>
        <w:rPr>
          <w:rFonts w:ascii="Arial Nova" w:hAnsi="Arial Nova" w:cs="Times New Roman"/>
          <w:b/>
          <w:bCs/>
        </w:rPr>
      </w:pPr>
    </w:p>
    <w:p w14:paraId="40B889CC" w14:textId="6C03943C" w:rsidR="00523768" w:rsidRDefault="00943377" w:rsidP="00941F9B">
      <w:pPr>
        <w:rPr>
          <w:rFonts w:ascii="Arial Nova" w:hAnsi="Arial Nova" w:cs="Times New Roman"/>
        </w:rPr>
      </w:pPr>
      <w:r w:rsidRPr="00943377">
        <w:rPr>
          <w:rFonts w:ascii="Arial Nova" w:hAnsi="Arial Nova" w:cs="Times New Roman"/>
        </w:rPr>
        <w:t>The above plots are different views of the dataset.</w:t>
      </w:r>
      <w:r>
        <w:rPr>
          <w:rFonts w:ascii="Arial Nova" w:hAnsi="Arial Nova" w:cs="Times New Roman"/>
        </w:rPr>
        <w:t xml:space="preserve"> </w:t>
      </w:r>
      <w:r w:rsidRPr="00943377">
        <w:rPr>
          <w:rFonts w:ascii="Arial Nova" w:hAnsi="Arial Nova" w:cs="Times New Roman"/>
          <w:b/>
          <w:bCs/>
        </w:rPr>
        <w:t>Pie chart</w:t>
      </w:r>
      <w:r>
        <w:rPr>
          <w:rFonts w:ascii="Arial Nova" w:hAnsi="Arial Nova" w:cs="Times New Roman"/>
        </w:rPr>
        <w:t xml:space="preserve"> has been used to visualize the proportion of the number of hotels each state has. The </w:t>
      </w:r>
      <w:r w:rsidRPr="00943377">
        <w:rPr>
          <w:rFonts w:ascii="Arial Nova" w:hAnsi="Arial Nova" w:cs="Times New Roman"/>
          <w:b/>
          <w:bCs/>
        </w:rPr>
        <w:t>combination chart</w:t>
      </w:r>
      <w:r>
        <w:rPr>
          <w:rFonts w:ascii="Arial Nova" w:hAnsi="Arial Nova" w:cs="Times New Roman"/>
        </w:rPr>
        <w:t xml:space="preserve"> can be used to visualize for each state, the number of climates and the number of hotels at the same time. This helps in </w:t>
      </w:r>
      <w:proofErr w:type="spellStart"/>
      <w:r>
        <w:rPr>
          <w:rFonts w:ascii="Arial Nova" w:hAnsi="Arial Nova" w:cs="Times New Roman"/>
        </w:rPr>
        <w:t>analyzing</w:t>
      </w:r>
      <w:proofErr w:type="spellEnd"/>
      <w:r>
        <w:rPr>
          <w:rFonts w:ascii="Arial Nova" w:hAnsi="Arial Nova" w:cs="Times New Roman"/>
        </w:rPr>
        <w:t xml:space="preserve"> which state can be more suitable as a tourist spot.</w:t>
      </w:r>
    </w:p>
    <w:p w14:paraId="18BE967B" w14:textId="77777777" w:rsidR="00943377" w:rsidRPr="00943377" w:rsidRDefault="00943377" w:rsidP="00941F9B">
      <w:pPr>
        <w:rPr>
          <w:rFonts w:ascii="Arial Nova" w:hAnsi="Arial Nova" w:cs="Times New Roman"/>
        </w:rPr>
      </w:pPr>
    </w:p>
    <w:p w14:paraId="41857B85" w14:textId="1E6C6DAF" w:rsidR="00011152" w:rsidRPr="00D36333" w:rsidRDefault="00D36333" w:rsidP="00941F9B">
      <w:pPr>
        <w:rPr>
          <w:rFonts w:ascii="Arial Nova" w:hAnsi="Arial Nova" w:cs="Times New Roman"/>
          <w:b/>
          <w:bCs/>
        </w:rPr>
      </w:pPr>
      <w:r w:rsidRPr="00D36333">
        <w:rPr>
          <w:rFonts w:ascii="Arial Nova" w:hAnsi="Arial Nova" w:cs="Times New Roman"/>
          <w:b/>
          <w:bCs/>
        </w:rPr>
        <w:lastRenderedPageBreak/>
        <w:t>5.</w:t>
      </w:r>
      <w:r w:rsidRPr="00D36333">
        <w:rPr>
          <w:b/>
          <w:bCs/>
        </w:rPr>
        <w:t xml:space="preserve"> </w:t>
      </w:r>
      <w:r w:rsidRPr="00D36333">
        <w:rPr>
          <w:rFonts w:ascii="Arial Nova" w:hAnsi="Arial Nova" w:cs="Times New Roman"/>
          <w:b/>
          <w:bCs/>
        </w:rPr>
        <w:t>Which is the best state for setting up a hotel? Why?</w:t>
      </w:r>
    </w:p>
    <w:p w14:paraId="17BDBA65" w14:textId="5060D202" w:rsidR="00011152" w:rsidRDefault="00F47602" w:rsidP="00941F9B">
      <w:pPr>
        <w:rPr>
          <w:rFonts w:ascii="Arial Nova" w:hAnsi="Arial Nova" w:cs="Times New Roman"/>
        </w:rPr>
      </w:pPr>
      <w:r>
        <w:rPr>
          <w:noProof/>
        </w:rPr>
        <w:drawing>
          <wp:inline distT="0" distB="0" distL="0" distR="0" wp14:anchorId="3B85FB14" wp14:editId="446723C7">
            <wp:extent cx="6188710" cy="3503295"/>
            <wp:effectExtent l="0" t="0" r="2540" b="1905"/>
            <wp:docPr id="181594234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1F2706C-F440-D3D5-B819-3224B99975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6E444A0" w14:textId="77777777" w:rsidR="00623E3A" w:rsidRDefault="00623E3A" w:rsidP="00941F9B">
      <w:pPr>
        <w:rPr>
          <w:rFonts w:ascii="Arial Nova" w:hAnsi="Arial Nova" w:cs="Times New Roman"/>
        </w:rPr>
      </w:pPr>
    </w:p>
    <w:p w14:paraId="7732352A" w14:textId="536F932C" w:rsidR="00623E3A" w:rsidRDefault="00623E3A" w:rsidP="00623E3A">
      <w:p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</w:rPr>
        <w:t>Choosing Maharashtra for setting up a hotel can be a viable option, considering its diverse climatic conditions and a substantial number of existing hotels</w:t>
      </w:r>
      <w:r>
        <w:rPr>
          <w:rFonts w:ascii="Arial Nova" w:hAnsi="Arial Nova" w:cs="Times New Roman"/>
        </w:rPr>
        <w:t>.</w:t>
      </w:r>
    </w:p>
    <w:p w14:paraId="0BE9346A" w14:textId="5C2E7AC7" w:rsidR="00623E3A" w:rsidRPr="00623E3A" w:rsidRDefault="00623E3A" w:rsidP="00623E3A">
      <w:pPr>
        <w:pStyle w:val="ListParagraph"/>
        <w:numPr>
          <w:ilvl w:val="0"/>
          <w:numId w:val="1"/>
        </w:num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  <w:b/>
          <w:bCs/>
        </w:rPr>
        <w:t>Diverse Climatic Conditions</w:t>
      </w:r>
      <w:r w:rsidRPr="00623E3A">
        <w:rPr>
          <w:rFonts w:ascii="Arial Nova" w:hAnsi="Arial Nova" w:cs="Times New Roman"/>
        </w:rPr>
        <w:t>:</w:t>
      </w:r>
    </w:p>
    <w:p w14:paraId="0C8C7C89" w14:textId="77777777" w:rsidR="00623E3A" w:rsidRPr="00623E3A" w:rsidRDefault="00623E3A" w:rsidP="00623E3A">
      <w:p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</w:rPr>
        <w:t>Maharashtra experiences a range of climates, including Tropical Monsoon, Savannah, Subtropical Humid, and Tropical Semi-Arid. This diversity caters to different preferences and allows for year-round tourism, attracting a broad spectrum of visitors.</w:t>
      </w:r>
    </w:p>
    <w:p w14:paraId="7A8D7003" w14:textId="7E28FB22" w:rsidR="00623E3A" w:rsidRPr="00623E3A" w:rsidRDefault="00623E3A" w:rsidP="00623E3A">
      <w:pPr>
        <w:pStyle w:val="ListParagraph"/>
        <w:numPr>
          <w:ilvl w:val="0"/>
          <w:numId w:val="1"/>
        </w:num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  <w:b/>
          <w:bCs/>
        </w:rPr>
        <w:t>Number of Hotels</w:t>
      </w:r>
      <w:r w:rsidRPr="00623E3A">
        <w:rPr>
          <w:rFonts w:ascii="Arial Nova" w:hAnsi="Arial Nova" w:cs="Times New Roman"/>
        </w:rPr>
        <w:t>:</w:t>
      </w:r>
    </w:p>
    <w:p w14:paraId="1F0F246B" w14:textId="2272A03D" w:rsidR="00623E3A" w:rsidRPr="00623E3A" w:rsidRDefault="00623E3A" w:rsidP="00623E3A">
      <w:p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</w:rPr>
        <w:t>Maharashtra has a significant number of hotels (102000), indicating a well-established hospitality industry. This existing infrastructure suggests a demand for accommodation services and a competitive market that may present opportunities for new entrants.</w:t>
      </w:r>
    </w:p>
    <w:p w14:paraId="27E095DD" w14:textId="05373533" w:rsidR="00623E3A" w:rsidRPr="00623E3A" w:rsidRDefault="00623E3A" w:rsidP="00623E3A">
      <w:pPr>
        <w:pStyle w:val="ListParagraph"/>
        <w:numPr>
          <w:ilvl w:val="0"/>
          <w:numId w:val="1"/>
        </w:num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  <w:b/>
          <w:bCs/>
        </w:rPr>
        <w:t>Tourist Attractions</w:t>
      </w:r>
      <w:r w:rsidRPr="00623E3A">
        <w:rPr>
          <w:rFonts w:ascii="Arial Nova" w:hAnsi="Arial Nova" w:cs="Times New Roman"/>
        </w:rPr>
        <w:t>:</w:t>
      </w:r>
    </w:p>
    <w:p w14:paraId="6DE20AE3" w14:textId="77777777" w:rsidR="00623E3A" w:rsidRPr="00623E3A" w:rsidRDefault="00623E3A" w:rsidP="00623E3A">
      <w:p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</w:rPr>
        <w:t xml:space="preserve">Maharashtra is home to various tourist attractions such as Mumbai, Pune, Ajanta and Ellora Caves, Goa, and hill stations like Mahabaleshwar. These destinations cater to both leisure and business </w:t>
      </w:r>
      <w:proofErr w:type="spellStart"/>
      <w:r w:rsidRPr="00623E3A">
        <w:rPr>
          <w:rFonts w:ascii="Arial Nova" w:hAnsi="Arial Nova" w:cs="Times New Roman"/>
        </w:rPr>
        <w:t>travelers</w:t>
      </w:r>
      <w:proofErr w:type="spellEnd"/>
      <w:r w:rsidRPr="00623E3A">
        <w:rPr>
          <w:rFonts w:ascii="Arial Nova" w:hAnsi="Arial Nova" w:cs="Times New Roman"/>
        </w:rPr>
        <w:t>, contributing to a consistent flow of visitors.</w:t>
      </w:r>
    </w:p>
    <w:p w14:paraId="0F844FC7" w14:textId="3200A418" w:rsidR="00623E3A" w:rsidRPr="00623E3A" w:rsidRDefault="00623E3A" w:rsidP="00623E3A">
      <w:pPr>
        <w:pStyle w:val="ListParagraph"/>
        <w:numPr>
          <w:ilvl w:val="0"/>
          <w:numId w:val="1"/>
        </w:num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  <w:b/>
          <w:bCs/>
        </w:rPr>
        <w:t>Economic Hub</w:t>
      </w:r>
      <w:r w:rsidRPr="00623E3A">
        <w:rPr>
          <w:rFonts w:ascii="Arial Nova" w:hAnsi="Arial Nova" w:cs="Times New Roman"/>
        </w:rPr>
        <w:t>:</w:t>
      </w:r>
    </w:p>
    <w:p w14:paraId="61F532B3" w14:textId="77777777" w:rsidR="00623E3A" w:rsidRPr="00623E3A" w:rsidRDefault="00623E3A" w:rsidP="00623E3A">
      <w:p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</w:rPr>
        <w:t xml:space="preserve">As one of India's leading economic and industrial states, Maharashtra attracts business </w:t>
      </w:r>
      <w:proofErr w:type="spellStart"/>
      <w:r w:rsidRPr="00623E3A">
        <w:rPr>
          <w:rFonts w:ascii="Arial Nova" w:hAnsi="Arial Nova" w:cs="Times New Roman"/>
        </w:rPr>
        <w:t>travelers</w:t>
      </w:r>
      <w:proofErr w:type="spellEnd"/>
      <w:r w:rsidRPr="00623E3A">
        <w:rPr>
          <w:rFonts w:ascii="Arial Nova" w:hAnsi="Arial Nova" w:cs="Times New Roman"/>
        </w:rPr>
        <w:t xml:space="preserve">. Cities like Mumbai are financial and commercial </w:t>
      </w:r>
      <w:proofErr w:type="spellStart"/>
      <w:r w:rsidRPr="00623E3A">
        <w:rPr>
          <w:rFonts w:ascii="Arial Nova" w:hAnsi="Arial Nova" w:cs="Times New Roman"/>
        </w:rPr>
        <w:t>centers</w:t>
      </w:r>
      <w:proofErr w:type="spellEnd"/>
      <w:r w:rsidRPr="00623E3A">
        <w:rPr>
          <w:rFonts w:ascii="Arial Nova" w:hAnsi="Arial Nova" w:cs="Times New Roman"/>
        </w:rPr>
        <w:t>, potentially leading to a steady demand for business-oriented hotels.</w:t>
      </w:r>
    </w:p>
    <w:p w14:paraId="7C20846F" w14:textId="77777777" w:rsidR="00D54CC1" w:rsidRDefault="00623E3A" w:rsidP="00623E3A">
      <w:pPr>
        <w:pStyle w:val="ListParagraph"/>
        <w:numPr>
          <w:ilvl w:val="0"/>
          <w:numId w:val="1"/>
        </w:num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  <w:b/>
          <w:bCs/>
        </w:rPr>
        <w:t>Cultural and Entertainment Hub</w:t>
      </w:r>
      <w:r w:rsidRPr="00623E3A">
        <w:rPr>
          <w:rFonts w:ascii="Arial Nova" w:hAnsi="Arial Nova" w:cs="Times New Roman"/>
        </w:rPr>
        <w:t>:</w:t>
      </w:r>
    </w:p>
    <w:p w14:paraId="4F8ADF06" w14:textId="66559420" w:rsidR="00623E3A" w:rsidRPr="00D54CC1" w:rsidRDefault="00623E3A" w:rsidP="00623E3A">
      <w:pPr>
        <w:pStyle w:val="ListParagraph"/>
        <w:numPr>
          <w:ilvl w:val="0"/>
          <w:numId w:val="1"/>
        </w:numPr>
        <w:rPr>
          <w:rFonts w:ascii="Arial Nova" w:hAnsi="Arial Nova" w:cs="Times New Roman"/>
        </w:rPr>
      </w:pPr>
      <w:r w:rsidRPr="00D54CC1">
        <w:rPr>
          <w:rFonts w:ascii="Arial Nova" w:hAnsi="Arial Nova" w:cs="Times New Roman"/>
        </w:rPr>
        <w:lastRenderedPageBreak/>
        <w:t>Maharashtra, particularly Mumbai, is a cultural and entertainment hub. Events, festivals, and the Bollywood industry contribute to the state's appeal, attracting tourists and creating opportunities for hospitality businesses.</w:t>
      </w:r>
    </w:p>
    <w:p w14:paraId="559D03F6" w14:textId="3DFD2220" w:rsidR="00623E3A" w:rsidRPr="00623E3A" w:rsidRDefault="00623E3A" w:rsidP="00623E3A">
      <w:pPr>
        <w:pStyle w:val="ListParagraph"/>
        <w:numPr>
          <w:ilvl w:val="0"/>
          <w:numId w:val="1"/>
        </w:num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  <w:b/>
          <w:bCs/>
        </w:rPr>
        <w:t>Connectivity</w:t>
      </w:r>
      <w:r w:rsidRPr="00623E3A">
        <w:rPr>
          <w:rFonts w:ascii="Arial Nova" w:hAnsi="Arial Nova" w:cs="Times New Roman"/>
        </w:rPr>
        <w:t>:</w:t>
      </w:r>
    </w:p>
    <w:p w14:paraId="03ADD6FA" w14:textId="77777777" w:rsidR="00623E3A" w:rsidRPr="00623E3A" w:rsidRDefault="00623E3A" w:rsidP="00623E3A">
      <w:p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</w:rPr>
        <w:t xml:space="preserve">Maharashtra has well-developed transportation infrastructure, including airports, railways, and road networks. This connectivity enhances accessibility for tourists and business </w:t>
      </w:r>
      <w:proofErr w:type="spellStart"/>
      <w:r w:rsidRPr="00623E3A">
        <w:rPr>
          <w:rFonts w:ascii="Arial Nova" w:hAnsi="Arial Nova" w:cs="Times New Roman"/>
        </w:rPr>
        <w:t>travelers</w:t>
      </w:r>
      <w:proofErr w:type="spellEnd"/>
      <w:r w:rsidRPr="00623E3A">
        <w:rPr>
          <w:rFonts w:ascii="Arial Nova" w:hAnsi="Arial Nova" w:cs="Times New Roman"/>
        </w:rPr>
        <w:t>, making it convenient for them to visit various parts of the state.</w:t>
      </w:r>
    </w:p>
    <w:p w14:paraId="5341FAB2" w14:textId="33130516" w:rsidR="00623E3A" w:rsidRPr="00623E3A" w:rsidRDefault="00623E3A" w:rsidP="00623E3A">
      <w:pPr>
        <w:pStyle w:val="ListParagraph"/>
        <w:numPr>
          <w:ilvl w:val="0"/>
          <w:numId w:val="1"/>
        </w:num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  <w:b/>
          <w:bCs/>
        </w:rPr>
        <w:t>Diverse Culinary Scene</w:t>
      </w:r>
      <w:r w:rsidRPr="00623E3A">
        <w:rPr>
          <w:rFonts w:ascii="Arial Nova" w:hAnsi="Arial Nova" w:cs="Times New Roman"/>
        </w:rPr>
        <w:t>:</w:t>
      </w:r>
    </w:p>
    <w:p w14:paraId="253B525C" w14:textId="77777777" w:rsidR="00623E3A" w:rsidRPr="00623E3A" w:rsidRDefault="00623E3A" w:rsidP="00623E3A">
      <w:p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</w:rPr>
        <w:t>The diverse culinary scene in Maharashtra, featuring local Maharashtrian cuisine and international options, can be an added attraction for food enthusiasts, contributing to the overall tourism experience.</w:t>
      </w:r>
    </w:p>
    <w:p w14:paraId="1C755C21" w14:textId="7BB6E033" w:rsidR="00623E3A" w:rsidRPr="00623E3A" w:rsidRDefault="00623E3A" w:rsidP="00623E3A">
      <w:pPr>
        <w:pStyle w:val="ListParagraph"/>
        <w:numPr>
          <w:ilvl w:val="0"/>
          <w:numId w:val="1"/>
        </w:num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  <w:b/>
          <w:bCs/>
        </w:rPr>
        <w:t>Potential for Expansion</w:t>
      </w:r>
      <w:r w:rsidRPr="00623E3A">
        <w:rPr>
          <w:rFonts w:ascii="Arial Nova" w:hAnsi="Arial Nova" w:cs="Times New Roman"/>
        </w:rPr>
        <w:t>:</w:t>
      </w:r>
    </w:p>
    <w:p w14:paraId="5D5C0D91" w14:textId="77777777" w:rsidR="00623E3A" w:rsidRPr="00623E3A" w:rsidRDefault="00623E3A" w:rsidP="00623E3A">
      <w:p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</w:rPr>
        <w:t>With a substantial number of hotels already in place, it indicates a competitive market. However, Maharashtra's continued economic growth and diverse tourism offerings suggest potential opportunities for expansion and business growth.</w:t>
      </w:r>
    </w:p>
    <w:p w14:paraId="3988A975" w14:textId="2F815AA1" w:rsidR="00623E3A" w:rsidRDefault="00623E3A" w:rsidP="00623E3A">
      <w:pPr>
        <w:rPr>
          <w:rFonts w:ascii="Arial Nova" w:hAnsi="Arial Nova" w:cs="Times New Roman"/>
        </w:rPr>
      </w:pPr>
      <w:r w:rsidRPr="00623E3A">
        <w:rPr>
          <w:rFonts w:ascii="Arial Nova" w:hAnsi="Arial Nova" w:cs="Times New Roman"/>
        </w:rPr>
        <w:t>While Maharashtra appears promising, it's crucial to conduct a thorough market analysis, assess local regulations, and consider specific business goals before making any investment decisions. Additionally, individual preferences and the target market segment should guide the decision-making process for setting up a hotel.</w:t>
      </w:r>
    </w:p>
    <w:p w14:paraId="3DB347A7" w14:textId="77777777" w:rsidR="00623E3A" w:rsidRDefault="00623E3A" w:rsidP="00623E3A">
      <w:pPr>
        <w:rPr>
          <w:rFonts w:ascii="Arial Nova" w:hAnsi="Arial Nova" w:cs="Times New Roman"/>
        </w:rPr>
      </w:pPr>
    </w:p>
    <w:p w14:paraId="5C67965F" w14:textId="6E44B273" w:rsidR="00623E3A" w:rsidRDefault="00623E3A" w:rsidP="00623E3A">
      <w:pPr>
        <w:rPr>
          <w:rFonts w:ascii="Arial Nova" w:hAnsi="Arial Nova" w:cs="Times New Roman"/>
          <w:b/>
          <w:bCs/>
        </w:rPr>
      </w:pPr>
      <w:r w:rsidRPr="00623E3A">
        <w:rPr>
          <w:rFonts w:ascii="Arial Nova" w:hAnsi="Arial Nova" w:cs="Times New Roman"/>
          <w:b/>
          <w:bCs/>
        </w:rPr>
        <w:t>6.</w:t>
      </w:r>
      <w:r w:rsidRPr="00623E3A">
        <w:rPr>
          <w:b/>
          <w:bCs/>
        </w:rPr>
        <w:t xml:space="preserve"> </w:t>
      </w:r>
      <w:r w:rsidRPr="00623E3A">
        <w:rPr>
          <w:rFonts w:ascii="Arial Nova" w:hAnsi="Arial Nova" w:cs="Times New Roman"/>
          <w:b/>
          <w:bCs/>
        </w:rPr>
        <w:t>What is the average number of days the rainy season lasts in Indian states?</w:t>
      </w:r>
    </w:p>
    <w:p w14:paraId="0C075766" w14:textId="7516E6AB" w:rsidR="00623E3A" w:rsidRDefault="00623E3A" w:rsidP="00623E3A">
      <w:pPr>
        <w:rPr>
          <w:rFonts w:ascii="Arial Nova" w:hAnsi="Arial Nova" w:cs="Times New Roman"/>
        </w:rPr>
      </w:pPr>
    </w:p>
    <w:p w14:paraId="216148AB" w14:textId="2F7DEDC7" w:rsidR="00D54CC1" w:rsidRDefault="00D54CC1" w:rsidP="00623E3A">
      <w:pPr>
        <w:rPr>
          <w:rFonts w:ascii="Arial Nova" w:hAnsi="Arial Nova" w:cs="Times New Roman"/>
        </w:rPr>
      </w:pPr>
      <w:r>
        <w:rPr>
          <w:rFonts w:ascii="Arial Nova" w:hAnsi="Arial Nova" w:cs="Times New Roman"/>
          <w:noProof/>
        </w:rPr>
        <w:drawing>
          <wp:inline distT="0" distB="0" distL="0" distR="0" wp14:anchorId="70E63736" wp14:editId="1A81685B">
            <wp:extent cx="5638800" cy="3504233"/>
            <wp:effectExtent l="0" t="0" r="0" b="1270"/>
            <wp:docPr id="2033644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064" cy="3518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4DFC0A" w14:textId="77777777" w:rsidR="00D54CC1" w:rsidRDefault="00D54CC1" w:rsidP="00623E3A">
      <w:pPr>
        <w:rPr>
          <w:rFonts w:ascii="Arial Nova" w:hAnsi="Arial Nova" w:cs="Times New Roman"/>
        </w:rPr>
      </w:pPr>
    </w:p>
    <w:p w14:paraId="26905EA0" w14:textId="666D99E2" w:rsidR="00D54CC1" w:rsidRDefault="00D54CC1" w:rsidP="00623E3A">
      <w:pPr>
        <w:rPr>
          <w:rFonts w:ascii="Arial Nova" w:hAnsi="Arial Nova" w:cs="Times New Roman"/>
        </w:rPr>
      </w:pPr>
      <w:r>
        <w:rPr>
          <w:rFonts w:ascii="Arial Nova" w:hAnsi="Arial Nova" w:cs="Times New Roman"/>
          <w:noProof/>
        </w:rPr>
        <w:lastRenderedPageBreak/>
        <w:drawing>
          <wp:inline distT="0" distB="0" distL="0" distR="0" wp14:anchorId="2C0B19E5" wp14:editId="0F8B725B">
            <wp:extent cx="3474720" cy="2420163"/>
            <wp:effectExtent l="0" t="0" r="0" b="0"/>
            <wp:docPr id="1740833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681" cy="24229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D797E" w14:textId="6BC1FCCE" w:rsidR="00D54CC1" w:rsidRPr="00943377" w:rsidRDefault="00D54CC1" w:rsidP="00623E3A">
      <w:pPr>
        <w:rPr>
          <w:rFonts w:ascii="Arial Nova" w:hAnsi="Arial Nova" w:cs="Times New Roman"/>
        </w:rPr>
      </w:pPr>
      <w:r w:rsidRPr="00943377">
        <w:rPr>
          <w:rFonts w:ascii="Arial Nova" w:hAnsi="Arial Nova" w:cs="Times New Roman"/>
        </w:rPr>
        <w:t>T</w:t>
      </w:r>
      <w:r w:rsidRPr="00943377">
        <w:rPr>
          <w:rFonts w:ascii="Arial Nova" w:hAnsi="Arial Nova" w:cs="Times New Roman"/>
        </w:rPr>
        <w:t>he rainy season lasts</w:t>
      </w:r>
      <w:r w:rsidRPr="00943377">
        <w:rPr>
          <w:rFonts w:ascii="Arial Nova" w:hAnsi="Arial Nova" w:cs="Times New Roman"/>
        </w:rPr>
        <w:t xml:space="preserve"> for around 97.5 days in the Indian states throughout the year.</w:t>
      </w:r>
    </w:p>
    <w:sectPr w:rsidR="00D54CC1" w:rsidRPr="00943377" w:rsidSect="007646F7">
      <w:pgSz w:w="11906" w:h="16838" w:code="9"/>
      <w:pgMar w:top="1440" w:right="1080" w:bottom="1440" w:left="108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52F6C"/>
    <w:multiLevelType w:val="hybridMultilevel"/>
    <w:tmpl w:val="57780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83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7A"/>
    <w:rsid w:val="00011152"/>
    <w:rsid w:val="00143BD3"/>
    <w:rsid w:val="00402301"/>
    <w:rsid w:val="004978B8"/>
    <w:rsid w:val="004D087A"/>
    <w:rsid w:val="00523768"/>
    <w:rsid w:val="00623E3A"/>
    <w:rsid w:val="00662BC4"/>
    <w:rsid w:val="00735BE2"/>
    <w:rsid w:val="007646F7"/>
    <w:rsid w:val="00941F9B"/>
    <w:rsid w:val="00943377"/>
    <w:rsid w:val="00A633EC"/>
    <w:rsid w:val="00D31CE9"/>
    <w:rsid w:val="00D36333"/>
    <w:rsid w:val="00D54CC1"/>
    <w:rsid w:val="00DF231B"/>
    <w:rsid w:val="00F4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5210"/>
  <w15:chartTrackingRefBased/>
  <w15:docId w15:val="{66DE50DA-DE8D-4579-930E-488A1434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2.png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Resources\Finlatics\Feb%206\Samyukta_Finlatics_Project2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ources\Finlatics\Feb%206\Samyukta_Finlatics_Projec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Resources\Finlatics\Feb%206\Samyukta_Finlatics_Project2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package" Target="../embeddings/Microsoft_Excel_Worksheet.xlsx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esources\Finlatics\Feb%206\Samyukta_Finlatics_Project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[Samyukta_Finlatics_Project2.xlsx]highest_no_of_hotels!PivotTable1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Number of Hotels for each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highest_no_of_hotels!$B$3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highest_no_of_hotels!$A$4:$A$32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highest_no_of_hotels!$B$4:$B$32</c:f>
              <c:numCache>
                <c:formatCode>General</c:formatCode>
                <c:ptCount val="28"/>
                <c:pt idx="0">
                  <c:v>34000</c:v>
                </c:pt>
                <c:pt idx="1">
                  <c:v>5000</c:v>
                </c:pt>
                <c:pt idx="2">
                  <c:v>25000</c:v>
                </c:pt>
                <c:pt idx="3">
                  <c:v>4000</c:v>
                </c:pt>
                <c:pt idx="4">
                  <c:v>25000</c:v>
                </c:pt>
                <c:pt idx="5">
                  <c:v>44000</c:v>
                </c:pt>
                <c:pt idx="6">
                  <c:v>107000</c:v>
                </c:pt>
                <c:pt idx="7">
                  <c:v>48000</c:v>
                </c:pt>
                <c:pt idx="8">
                  <c:v>83000</c:v>
                </c:pt>
                <c:pt idx="9">
                  <c:v>4000</c:v>
                </c:pt>
                <c:pt idx="10">
                  <c:v>40000</c:v>
                </c:pt>
                <c:pt idx="11">
                  <c:v>672000</c:v>
                </c:pt>
                <c:pt idx="12">
                  <c:v>14000</c:v>
                </c:pt>
                <c:pt idx="13">
                  <c:v>102000</c:v>
                </c:pt>
                <c:pt idx="14">
                  <c:v>3000</c:v>
                </c:pt>
                <c:pt idx="15">
                  <c:v>2000</c:v>
                </c:pt>
                <c:pt idx="16">
                  <c:v>1000</c:v>
                </c:pt>
                <c:pt idx="17">
                  <c:v>1000</c:v>
                </c:pt>
                <c:pt idx="18">
                  <c:v>20000</c:v>
                </c:pt>
                <c:pt idx="19">
                  <c:v>11000</c:v>
                </c:pt>
                <c:pt idx="20">
                  <c:v>72000</c:v>
                </c:pt>
                <c:pt idx="21">
                  <c:v>12000</c:v>
                </c:pt>
                <c:pt idx="22">
                  <c:v>116000</c:v>
                </c:pt>
                <c:pt idx="23">
                  <c:v>34000</c:v>
                </c:pt>
                <c:pt idx="24">
                  <c:v>1000</c:v>
                </c:pt>
                <c:pt idx="25">
                  <c:v>58000</c:v>
                </c:pt>
                <c:pt idx="26">
                  <c:v>50000</c:v>
                </c:pt>
                <c:pt idx="27">
                  <c:v>87000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16-4156-8D6E-E4242C6F7BB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191389231"/>
        <c:axId val="1379642799"/>
      </c:barChart>
      <c:catAx>
        <c:axId val="119138923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79642799"/>
        <c:crosses val="autoZero"/>
        <c:auto val="1"/>
        <c:lblAlgn val="ctr"/>
        <c:lblOffset val="100"/>
        <c:noMultiLvlLbl val="0"/>
      </c:catAx>
      <c:valAx>
        <c:axId val="13796427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1389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[Samyukta_Finlatics_Project2.xlsx]hotel_industry_investors!PivotTable3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hotel_industry_investors!$B$3</c:f>
              <c:strCache>
                <c:ptCount val="1"/>
                <c:pt idx="0">
                  <c:v>Sum of No of Climates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hotel_industry_investors!$A$4:$A$12</c:f>
              <c:strCache>
                <c:ptCount val="8"/>
                <c:pt idx="0">
                  <c:v>Arunachal Pradesh</c:v>
                </c:pt>
                <c:pt idx="1">
                  <c:v>Assam</c:v>
                </c:pt>
                <c:pt idx="2">
                  <c:v>Manipur</c:v>
                </c:pt>
                <c:pt idx="3">
                  <c:v>Meghalaya</c:v>
                </c:pt>
                <c:pt idx="4">
                  <c:v>Mizoram</c:v>
                </c:pt>
                <c:pt idx="5">
                  <c:v>Nagaland</c:v>
                </c:pt>
                <c:pt idx="6">
                  <c:v>Sikkim</c:v>
                </c:pt>
                <c:pt idx="7">
                  <c:v>Tripura</c:v>
                </c:pt>
              </c:strCache>
            </c:strRef>
          </c:cat>
          <c:val>
            <c:numRef>
              <c:f>hotel_industry_investors!$B$4:$B$12</c:f>
              <c:numCache>
                <c:formatCode>General</c:formatCode>
                <c:ptCount val="8"/>
                <c:pt idx="0">
                  <c:v>2</c:v>
                </c:pt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74-4D35-AAA1-5ED8ADB353E7}"/>
            </c:ext>
          </c:extLst>
        </c:ser>
        <c:ser>
          <c:idx val="1"/>
          <c:order val="1"/>
          <c:tx>
            <c:strRef>
              <c:f>hotel_industry_investors!$C$3</c:f>
              <c:strCache>
                <c:ptCount val="1"/>
                <c:pt idx="0">
                  <c:v>Sum of No of Hotels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hotel_industry_investors!$A$4:$A$12</c:f>
              <c:strCache>
                <c:ptCount val="8"/>
                <c:pt idx="0">
                  <c:v>Arunachal Pradesh</c:v>
                </c:pt>
                <c:pt idx="1">
                  <c:v>Assam</c:v>
                </c:pt>
                <c:pt idx="2">
                  <c:v>Manipur</c:v>
                </c:pt>
                <c:pt idx="3">
                  <c:v>Meghalaya</c:v>
                </c:pt>
                <c:pt idx="4">
                  <c:v>Mizoram</c:v>
                </c:pt>
                <c:pt idx="5">
                  <c:v>Nagaland</c:v>
                </c:pt>
                <c:pt idx="6">
                  <c:v>Sikkim</c:v>
                </c:pt>
                <c:pt idx="7">
                  <c:v>Tripura</c:v>
                </c:pt>
              </c:strCache>
            </c:strRef>
          </c:cat>
          <c:val>
            <c:numRef>
              <c:f>hotel_industry_investors!$C$4:$C$12</c:f>
              <c:numCache>
                <c:formatCode>General</c:formatCode>
                <c:ptCount val="8"/>
                <c:pt idx="0">
                  <c:v>5000</c:v>
                </c:pt>
                <c:pt idx="1">
                  <c:v>25000</c:v>
                </c:pt>
                <c:pt idx="2">
                  <c:v>3000</c:v>
                </c:pt>
                <c:pt idx="3">
                  <c:v>2000</c:v>
                </c:pt>
                <c:pt idx="4">
                  <c:v>1000</c:v>
                </c:pt>
                <c:pt idx="5">
                  <c:v>1000</c:v>
                </c:pt>
                <c:pt idx="6">
                  <c:v>12000</c:v>
                </c:pt>
                <c:pt idx="7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174-4D35-AAA1-5ED8ADB353E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390771071"/>
        <c:axId val="1451171807"/>
        <c:axId val="0"/>
      </c:bar3DChart>
      <c:catAx>
        <c:axId val="1390771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51171807"/>
        <c:crosses val="autoZero"/>
        <c:auto val="1"/>
        <c:lblAlgn val="ctr"/>
        <c:lblOffset val="100"/>
        <c:noMultiLvlLbl val="0"/>
      </c:catAx>
      <c:valAx>
        <c:axId val="1451171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77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[Samyukta_Finlatics_Project2.xlsx]combo!PivotTable5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587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587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587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combo!$B$3</c:f>
              <c:strCache>
                <c:ptCount val="1"/>
                <c:pt idx="0">
                  <c:v>Sum of No of Climates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cat>
            <c:strRef>
              <c:f>combo!$A$4:$A$32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combo!$B$4:$B$32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4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02-44BB-ACE8-B55D9938B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09227439"/>
        <c:axId val="53644031"/>
      </c:barChart>
      <c:lineChart>
        <c:grouping val="standard"/>
        <c:varyColors val="0"/>
        <c:ser>
          <c:idx val="1"/>
          <c:order val="1"/>
          <c:tx>
            <c:strRef>
              <c:f>combo!$C$3</c:f>
              <c:strCache>
                <c:ptCount val="1"/>
                <c:pt idx="0">
                  <c:v>Sum of No of Hotels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cat>
            <c:strRef>
              <c:f>combo!$A$4:$A$32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combo!$C$4:$C$32</c:f>
              <c:numCache>
                <c:formatCode>General</c:formatCode>
                <c:ptCount val="28"/>
                <c:pt idx="0">
                  <c:v>34000</c:v>
                </c:pt>
                <c:pt idx="1">
                  <c:v>5000</c:v>
                </c:pt>
                <c:pt idx="2">
                  <c:v>25000</c:v>
                </c:pt>
                <c:pt idx="3">
                  <c:v>4000</c:v>
                </c:pt>
                <c:pt idx="4">
                  <c:v>25000</c:v>
                </c:pt>
                <c:pt idx="5">
                  <c:v>44000</c:v>
                </c:pt>
                <c:pt idx="6">
                  <c:v>107000</c:v>
                </c:pt>
                <c:pt idx="7">
                  <c:v>48000</c:v>
                </c:pt>
                <c:pt idx="8">
                  <c:v>83000</c:v>
                </c:pt>
                <c:pt idx="9">
                  <c:v>4000</c:v>
                </c:pt>
                <c:pt idx="10">
                  <c:v>40000</c:v>
                </c:pt>
                <c:pt idx="11">
                  <c:v>672000</c:v>
                </c:pt>
                <c:pt idx="12">
                  <c:v>14000</c:v>
                </c:pt>
                <c:pt idx="13">
                  <c:v>102000</c:v>
                </c:pt>
                <c:pt idx="14">
                  <c:v>3000</c:v>
                </c:pt>
                <c:pt idx="15">
                  <c:v>2000</c:v>
                </c:pt>
                <c:pt idx="16">
                  <c:v>1000</c:v>
                </c:pt>
                <c:pt idx="17">
                  <c:v>1000</c:v>
                </c:pt>
                <c:pt idx="18">
                  <c:v>20000</c:v>
                </c:pt>
                <c:pt idx="19">
                  <c:v>11000</c:v>
                </c:pt>
                <c:pt idx="20">
                  <c:v>72000</c:v>
                </c:pt>
                <c:pt idx="21">
                  <c:v>12000</c:v>
                </c:pt>
                <c:pt idx="22">
                  <c:v>116000</c:v>
                </c:pt>
                <c:pt idx="23">
                  <c:v>34000</c:v>
                </c:pt>
                <c:pt idx="24">
                  <c:v>1000</c:v>
                </c:pt>
                <c:pt idx="25">
                  <c:v>58000</c:v>
                </c:pt>
                <c:pt idx="26">
                  <c:v>50000</c:v>
                </c:pt>
                <c:pt idx="27">
                  <c:v>87000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02-44BB-ACE8-B55D9938BB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225519"/>
        <c:axId val="53632623"/>
      </c:lineChart>
      <c:catAx>
        <c:axId val="209225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32623"/>
        <c:crosses val="autoZero"/>
        <c:auto val="1"/>
        <c:lblAlgn val="ctr"/>
        <c:lblOffset val="100"/>
        <c:noMultiLvlLbl val="0"/>
      </c:catAx>
      <c:valAx>
        <c:axId val="5363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hotels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25519"/>
        <c:crosses val="autoZero"/>
        <c:crossBetween val="between"/>
      </c:valAx>
      <c:valAx>
        <c:axId val="5364403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climates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27439"/>
        <c:crosses val="max"/>
        <c:crossBetween val="between"/>
      </c:valAx>
      <c:catAx>
        <c:axId val="20922743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364403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pivotSource>
    <c:name>[Samyukta_Finlatics_Project2.xlsx]Sheet1!PivotTable1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Total Number of Hotels for each State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circle"/>
          <c:size val="5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5EE-4663-BD3F-CEF55726D243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5EE-4663-BD3F-CEF55726D243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5EE-4663-BD3F-CEF55726D243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5EE-4663-BD3F-CEF55726D243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5EE-4663-BD3F-CEF55726D243}"/>
              </c:ext>
            </c:extLst>
          </c:dPt>
          <c:dPt>
            <c:idx val="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5EE-4663-BD3F-CEF55726D243}"/>
              </c:ext>
            </c:extLst>
          </c:dPt>
          <c:dPt>
            <c:idx val="6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5EE-4663-BD3F-CEF55726D243}"/>
              </c:ext>
            </c:extLst>
          </c:dPt>
          <c:dPt>
            <c:idx val="7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5EE-4663-BD3F-CEF55726D243}"/>
              </c:ext>
            </c:extLst>
          </c:dPt>
          <c:dPt>
            <c:idx val="8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5EE-4663-BD3F-CEF55726D243}"/>
              </c:ext>
            </c:extLst>
          </c:dPt>
          <c:dPt>
            <c:idx val="9"/>
            <c:bubble3D val="0"/>
            <c:spPr>
              <a:solidFill>
                <a:schemeClr val="accent2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5EE-4663-BD3F-CEF55726D243}"/>
              </c:ext>
            </c:extLst>
          </c:dPt>
          <c:dPt>
            <c:idx val="10"/>
            <c:bubble3D val="0"/>
            <c:spPr>
              <a:solidFill>
                <a:schemeClr val="accent4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5EE-4663-BD3F-CEF55726D243}"/>
              </c:ext>
            </c:extLst>
          </c:dPt>
          <c:dPt>
            <c:idx val="11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E5EE-4663-BD3F-CEF55726D243}"/>
              </c:ext>
            </c:extLst>
          </c:dPt>
          <c:dPt>
            <c:idx val="12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E5EE-4663-BD3F-CEF55726D243}"/>
              </c:ext>
            </c:extLst>
          </c:dPt>
          <c:dPt>
            <c:idx val="1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E5EE-4663-BD3F-CEF55726D243}"/>
              </c:ext>
            </c:extLst>
          </c:dPt>
          <c:dPt>
            <c:idx val="14"/>
            <c:bubble3D val="0"/>
            <c:spPr>
              <a:solidFill>
                <a:schemeClr val="accent6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E5EE-4663-BD3F-CEF55726D243}"/>
              </c:ext>
            </c:extLst>
          </c:dPt>
          <c:dPt>
            <c:idx val="15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E5EE-4663-BD3F-CEF55726D243}"/>
              </c:ext>
            </c:extLst>
          </c:dPt>
          <c:dPt>
            <c:idx val="16"/>
            <c:bubble3D val="0"/>
            <c:spPr>
              <a:solidFill>
                <a:schemeClr val="accent4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E5EE-4663-BD3F-CEF55726D243}"/>
              </c:ext>
            </c:extLst>
          </c:dPt>
          <c:dPt>
            <c:idx val="17"/>
            <c:bubble3D val="0"/>
            <c:spPr>
              <a:solidFill>
                <a:schemeClr val="accent6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E5EE-4663-BD3F-CEF55726D243}"/>
              </c:ext>
            </c:extLst>
          </c:dPt>
          <c:dPt>
            <c:idx val="18"/>
            <c:bubble3D val="0"/>
            <c:spPr>
              <a:solidFill>
                <a:schemeClr val="accent2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E5EE-4663-BD3F-CEF55726D243}"/>
              </c:ext>
            </c:extLst>
          </c:dPt>
          <c:dPt>
            <c:idx val="19"/>
            <c:bubble3D val="0"/>
            <c:spPr>
              <a:solidFill>
                <a:schemeClr val="accent4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E5EE-4663-BD3F-CEF55726D243}"/>
              </c:ext>
            </c:extLst>
          </c:dPt>
          <c:dPt>
            <c:idx val="20"/>
            <c:bubble3D val="0"/>
            <c:spPr>
              <a:solidFill>
                <a:schemeClr val="accent6">
                  <a:lumMod val="70000"/>
                  <a:lumOff val="3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E5EE-4663-BD3F-CEF55726D243}"/>
              </c:ext>
            </c:extLst>
          </c:dPt>
          <c:dPt>
            <c:idx val="21"/>
            <c:bubble3D val="0"/>
            <c:spPr>
              <a:solidFill>
                <a:schemeClr val="accent2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E5EE-4663-BD3F-CEF55726D243}"/>
              </c:ext>
            </c:extLst>
          </c:dPt>
          <c:dPt>
            <c:idx val="22"/>
            <c:bubble3D val="0"/>
            <c:spPr>
              <a:solidFill>
                <a:schemeClr val="accent4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E5EE-4663-BD3F-CEF55726D243}"/>
              </c:ext>
            </c:extLst>
          </c:dPt>
          <c:dPt>
            <c:idx val="23"/>
            <c:bubble3D val="0"/>
            <c:spPr>
              <a:solidFill>
                <a:schemeClr val="accent6">
                  <a:lumMod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E5EE-4663-BD3F-CEF55726D243}"/>
              </c:ext>
            </c:extLst>
          </c:dPt>
          <c:dPt>
            <c:idx val="24"/>
            <c:bubble3D val="0"/>
            <c:spPr>
              <a:solidFill>
                <a:schemeClr val="accent2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E5EE-4663-BD3F-CEF55726D243}"/>
              </c:ext>
            </c:extLst>
          </c:dPt>
          <c:dPt>
            <c:idx val="25"/>
            <c:bubble3D val="0"/>
            <c:spPr>
              <a:solidFill>
                <a:schemeClr val="accent4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E5EE-4663-BD3F-CEF55726D243}"/>
              </c:ext>
            </c:extLst>
          </c:dPt>
          <c:dPt>
            <c:idx val="26"/>
            <c:bubble3D val="0"/>
            <c:spPr>
              <a:solidFill>
                <a:schemeClr val="accent6">
                  <a:lumMod val="50000"/>
                  <a:lumOff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E5EE-4663-BD3F-CEF55726D243}"/>
              </c:ext>
            </c:extLst>
          </c:dPt>
          <c:dPt>
            <c:idx val="27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E5EE-4663-BD3F-CEF55726D24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Sheet1!$B$4:$B$32</c:f>
              <c:numCache>
                <c:formatCode>General</c:formatCode>
                <c:ptCount val="28"/>
                <c:pt idx="0">
                  <c:v>34000</c:v>
                </c:pt>
                <c:pt idx="1">
                  <c:v>5000</c:v>
                </c:pt>
                <c:pt idx="2">
                  <c:v>25000</c:v>
                </c:pt>
                <c:pt idx="3">
                  <c:v>4000</c:v>
                </c:pt>
                <c:pt idx="4">
                  <c:v>25000</c:v>
                </c:pt>
                <c:pt idx="5">
                  <c:v>44000</c:v>
                </c:pt>
                <c:pt idx="6">
                  <c:v>107000</c:v>
                </c:pt>
                <c:pt idx="7">
                  <c:v>48000</c:v>
                </c:pt>
                <c:pt idx="8">
                  <c:v>83000</c:v>
                </c:pt>
                <c:pt idx="9">
                  <c:v>4000</c:v>
                </c:pt>
                <c:pt idx="10">
                  <c:v>40000</c:v>
                </c:pt>
                <c:pt idx="11">
                  <c:v>672000</c:v>
                </c:pt>
                <c:pt idx="12">
                  <c:v>14000</c:v>
                </c:pt>
                <c:pt idx="13">
                  <c:v>102000</c:v>
                </c:pt>
                <c:pt idx="14">
                  <c:v>3000</c:v>
                </c:pt>
                <c:pt idx="15">
                  <c:v>2000</c:v>
                </c:pt>
                <c:pt idx="16">
                  <c:v>1000</c:v>
                </c:pt>
                <c:pt idx="17">
                  <c:v>1000</c:v>
                </c:pt>
                <c:pt idx="18">
                  <c:v>20000</c:v>
                </c:pt>
                <c:pt idx="19">
                  <c:v>11000</c:v>
                </c:pt>
                <c:pt idx="20">
                  <c:v>72000</c:v>
                </c:pt>
                <c:pt idx="21">
                  <c:v>12000</c:v>
                </c:pt>
                <c:pt idx="22">
                  <c:v>116000</c:v>
                </c:pt>
                <c:pt idx="23">
                  <c:v>34000</c:v>
                </c:pt>
                <c:pt idx="24">
                  <c:v>1000</c:v>
                </c:pt>
                <c:pt idx="25">
                  <c:v>58000</c:v>
                </c:pt>
                <c:pt idx="26">
                  <c:v>50000</c:v>
                </c:pt>
                <c:pt idx="27">
                  <c:v>87000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E5EE-4663-BD3F-CEF55726D243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[Samyukta_Finlatics_Project2.xlsx]combo!PivotTable5</c:name>
    <c:fmtId val="-1"/>
  </c:pivotSource>
  <c:chart>
    <c:autoTitleDeleted val="0"/>
    <c:pivotFmts>
      <c:pivotFmt>
        <c:idx val="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587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bg2">
                        <a:lumMod val="10000"/>
                      </a:schemeClr>
                    </a:solidFill>
                  </a:ln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5875" cap="rnd" cmpd="sng" algn="ctr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layout>
            <c:manualLayout>
              <c:x val="-1.6648168701442843E-2"/>
              <c:y val="-3.267973856209210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bg2">
                        <a:lumMod val="10000"/>
                      </a:schemeClr>
                    </a:solidFill>
                  </a:ln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bg2">
                        <a:lumMod val="10000"/>
                      </a:schemeClr>
                    </a:solidFill>
                  </a:ln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587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5875" cap="rnd" cmpd="sng" algn="ctr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layout>
            <c:manualLayout>
              <c:x val="-1.6648168701442843E-2"/>
              <c:y val="-3.267973856209210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bg2">
                        <a:lumMod val="10000"/>
                      </a:schemeClr>
                    </a:solidFill>
                  </a:ln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9525" cap="flat" cmpd="sng" algn="ctr">
            <a:solidFill>
              <a:schemeClr val="accent1">
                <a:shade val="95000"/>
              </a:schemeClr>
            </a:solidFill>
            <a:round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bg2">
                        <a:lumMod val="10000"/>
                      </a:schemeClr>
                    </a:solidFill>
                  </a:ln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587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lumMod val="110000"/>
                  <a:satMod val="105000"/>
                  <a:tint val="67000"/>
                </a:schemeClr>
              </a:gs>
              <a:gs pos="50000">
                <a:schemeClr val="accent1">
                  <a:lumMod val="105000"/>
                  <a:satMod val="103000"/>
                  <a:tint val="73000"/>
                </a:schemeClr>
              </a:gs>
              <a:gs pos="100000">
                <a:schemeClr val="accent1">
                  <a:lumMod val="105000"/>
                  <a:satMod val="109000"/>
                  <a:tint val="81000"/>
                </a:schemeClr>
              </a:gs>
            </a:gsLst>
            <a:lin ang="5400000" scaled="0"/>
          </a:gradFill>
          <a:ln w="15875" cap="rnd" cmpd="sng" algn="ctr">
            <a:solidFill>
              <a:schemeClr val="accent2"/>
            </a:solidFill>
            <a:round/>
          </a:ln>
          <a:effectLst/>
        </c:spPr>
        <c:marker>
          <c:symbol val="circle"/>
          <c:size val="5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</c:marker>
        <c:dLbl>
          <c:idx val="0"/>
          <c:layout>
            <c:manualLayout>
              <c:x val="-1.6648168701442843E-2"/>
              <c:y val="-3.2679738562092103E-3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ln>
                    <a:solidFill>
                      <a:schemeClr val="bg2">
                        <a:lumMod val="10000"/>
                      </a:schemeClr>
                    </a:solidFill>
                  </a:ln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combo!$B$3</c:f>
              <c:strCache>
                <c:ptCount val="1"/>
                <c:pt idx="0">
                  <c:v>Sum of No of Climates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dLbl>
              <c:idx val="1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bg2">
                            <a:lumMod val="10000"/>
                          </a:schemeClr>
                        </a:solidFill>
                      </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3F70-4270-B1A7-DA2D370A87E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combo!$A$4:$A$32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combo!$B$4:$B$32</c:f>
              <c:numCache>
                <c:formatCode>General</c:formatCode>
                <c:ptCount val="28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2</c:v>
                </c:pt>
                <c:pt idx="10">
                  <c:v>3</c:v>
                </c:pt>
                <c:pt idx="11">
                  <c:v>1</c:v>
                </c:pt>
                <c:pt idx="12">
                  <c:v>3</c:v>
                </c:pt>
                <c:pt idx="13">
                  <c:v>4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1</c:v>
                </c:pt>
                <c:pt idx="22">
                  <c:v>3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70-4270-B1A7-DA2D370A8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09227439"/>
        <c:axId val="53644031"/>
      </c:barChart>
      <c:lineChart>
        <c:grouping val="standard"/>
        <c:varyColors val="0"/>
        <c:ser>
          <c:idx val="1"/>
          <c:order val="1"/>
          <c:tx>
            <c:strRef>
              <c:f>combo!$C$3</c:f>
              <c:strCache>
                <c:ptCount val="1"/>
                <c:pt idx="0">
                  <c:v>Sum of No of Hotels</c:v>
                </c:pt>
              </c:strCache>
            </c:strRef>
          </c:tx>
          <c:spPr>
            <a:ln w="158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</c:marker>
          <c:dLbls>
            <c:dLbl>
              <c:idx val="13"/>
              <c:layout>
                <c:manualLayout>
                  <c:x val="-1.6648168701442843E-2"/>
                  <c:y val="-3.2679738562092103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ln>
                        <a:solidFill>
                          <a:schemeClr val="bg2">
                            <a:lumMod val="10000"/>
                          </a:schemeClr>
                        </a:solidFill>
                      </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3F70-4270-B1A7-DA2D370A87E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combo!$A$4:$A$32</c:f>
              <c:strCache>
                <c:ptCount val="28"/>
                <c:pt idx="0">
                  <c:v>Andhra Pradesh</c:v>
                </c:pt>
                <c:pt idx="1">
                  <c:v>Arunachal Pradesh</c:v>
                </c:pt>
                <c:pt idx="2">
                  <c:v>Assam</c:v>
                </c:pt>
                <c:pt idx="3">
                  <c:v>Bihar</c:v>
                </c:pt>
                <c:pt idx="4">
                  <c:v>Chhattisgarh</c:v>
                </c:pt>
                <c:pt idx="5">
                  <c:v>Goa</c:v>
                </c:pt>
                <c:pt idx="6">
                  <c:v>Gujarat</c:v>
                </c:pt>
                <c:pt idx="7">
                  <c:v>Haryana</c:v>
                </c:pt>
                <c:pt idx="8">
                  <c:v>Himachal Pradesh</c:v>
                </c:pt>
                <c:pt idx="9">
                  <c:v>Jharkhand</c:v>
                </c:pt>
                <c:pt idx="10">
                  <c:v>Karnataka</c:v>
                </c:pt>
                <c:pt idx="11">
                  <c:v>Kerala</c:v>
                </c:pt>
                <c:pt idx="12">
                  <c:v>Madhya Pradesh</c:v>
                </c:pt>
                <c:pt idx="13">
                  <c:v>Maharashtra</c:v>
                </c:pt>
                <c:pt idx="14">
                  <c:v>Manipur</c:v>
                </c:pt>
                <c:pt idx="15">
                  <c:v>Meghalaya</c:v>
                </c:pt>
                <c:pt idx="16">
                  <c:v>Mizoram</c:v>
                </c:pt>
                <c:pt idx="17">
                  <c:v>Nagaland</c:v>
                </c:pt>
                <c:pt idx="18">
                  <c:v>Odisha</c:v>
                </c:pt>
                <c:pt idx="19">
                  <c:v>Punjab</c:v>
                </c:pt>
                <c:pt idx="20">
                  <c:v>Rajasthan</c:v>
                </c:pt>
                <c:pt idx="21">
                  <c:v>Sikkim</c:v>
                </c:pt>
                <c:pt idx="22">
                  <c:v>Tamil Nadu</c:v>
                </c:pt>
                <c:pt idx="23">
                  <c:v>Telangana</c:v>
                </c:pt>
                <c:pt idx="24">
                  <c:v>Tripura</c:v>
                </c:pt>
                <c:pt idx="25">
                  <c:v>Uttar Pradesh</c:v>
                </c:pt>
                <c:pt idx="26">
                  <c:v>Uttarakhand</c:v>
                </c:pt>
                <c:pt idx="27">
                  <c:v>West Bengal</c:v>
                </c:pt>
              </c:strCache>
            </c:strRef>
          </c:cat>
          <c:val>
            <c:numRef>
              <c:f>combo!$C$4:$C$32</c:f>
              <c:numCache>
                <c:formatCode>General</c:formatCode>
                <c:ptCount val="28"/>
                <c:pt idx="0">
                  <c:v>34000</c:v>
                </c:pt>
                <c:pt idx="1">
                  <c:v>5000</c:v>
                </c:pt>
                <c:pt idx="2">
                  <c:v>25000</c:v>
                </c:pt>
                <c:pt idx="3">
                  <c:v>4000</c:v>
                </c:pt>
                <c:pt idx="4">
                  <c:v>25000</c:v>
                </c:pt>
                <c:pt idx="5">
                  <c:v>44000</c:v>
                </c:pt>
                <c:pt idx="6">
                  <c:v>107000</c:v>
                </c:pt>
                <c:pt idx="7">
                  <c:v>48000</c:v>
                </c:pt>
                <c:pt idx="8">
                  <c:v>83000</c:v>
                </c:pt>
                <c:pt idx="9">
                  <c:v>4000</c:v>
                </c:pt>
                <c:pt idx="10">
                  <c:v>40000</c:v>
                </c:pt>
                <c:pt idx="11">
                  <c:v>672000</c:v>
                </c:pt>
                <c:pt idx="12">
                  <c:v>14000</c:v>
                </c:pt>
                <c:pt idx="13">
                  <c:v>102000</c:v>
                </c:pt>
                <c:pt idx="14">
                  <c:v>3000</c:v>
                </c:pt>
                <c:pt idx="15">
                  <c:v>2000</c:v>
                </c:pt>
                <c:pt idx="16">
                  <c:v>1000</c:v>
                </c:pt>
                <c:pt idx="17">
                  <c:v>1000</c:v>
                </c:pt>
                <c:pt idx="18">
                  <c:v>20000</c:v>
                </c:pt>
                <c:pt idx="19">
                  <c:v>11000</c:v>
                </c:pt>
                <c:pt idx="20">
                  <c:v>72000</c:v>
                </c:pt>
                <c:pt idx="21">
                  <c:v>12000</c:v>
                </c:pt>
                <c:pt idx="22">
                  <c:v>116000</c:v>
                </c:pt>
                <c:pt idx="23">
                  <c:v>34000</c:v>
                </c:pt>
                <c:pt idx="24">
                  <c:v>1000</c:v>
                </c:pt>
                <c:pt idx="25">
                  <c:v>58000</c:v>
                </c:pt>
                <c:pt idx="26">
                  <c:v>50000</c:v>
                </c:pt>
                <c:pt idx="27">
                  <c:v>87000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70-4270-B1A7-DA2D370A87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225519"/>
        <c:axId val="53632623"/>
      </c:lineChart>
      <c:catAx>
        <c:axId val="209225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States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632623"/>
        <c:crosses val="autoZero"/>
        <c:auto val="1"/>
        <c:lblAlgn val="ctr"/>
        <c:lblOffset val="100"/>
        <c:noMultiLvlLbl val="0"/>
      </c:catAx>
      <c:valAx>
        <c:axId val="5363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hotels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25519"/>
        <c:crosses val="autoZero"/>
        <c:crossBetween val="between"/>
      </c:valAx>
      <c:valAx>
        <c:axId val="53644031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 of climates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27439"/>
        <c:crosses val="max"/>
        <c:crossBetween val="between"/>
      </c:valAx>
      <c:catAx>
        <c:axId val="209227439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3644031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9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25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25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75000"/>
            <a:lumOff val="2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Samyukta B - [CB.SC.I5DAS20128], Amrita Vishwa Vidyapeetham.</dc:creator>
  <cp:keywords/>
  <dc:description/>
  <cp:lastModifiedBy>Samyukta B - [CB.SC.I5DAS20128], Amrita Vishwa Vidyapeetham.</cp:lastModifiedBy>
  <cp:revision>6</cp:revision>
  <dcterms:created xsi:type="dcterms:W3CDTF">2024-02-05T18:03:00Z</dcterms:created>
  <dcterms:modified xsi:type="dcterms:W3CDTF">2024-02-06T02:20:00Z</dcterms:modified>
</cp:coreProperties>
</file>