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EF2" w:rsidRPr="003333D8" w:rsidRDefault="00560D86" w:rsidP="00566180">
      <w:pPr>
        <w:pStyle w:val="Balk1"/>
        <w:jc w:val="both"/>
        <w:rPr>
          <w:rFonts w:ascii="Arial" w:hAnsi="Arial" w:cs="Arial"/>
          <w:color w:val="auto"/>
          <w:szCs w:val="20"/>
        </w:rPr>
      </w:pPr>
      <w:r w:rsidRPr="003333D8">
        <w:rPr>
          <w:rFonts w:ascii="Arial" w:hAnsi="Arial" w:cs="Arial"/>
          <w:color w:val="auto"/>
          <w:szCs w:val="20"/>
        </w:rPr>
        <w:t>ISO 27001 BGYS Doküman ve Belgelendirme Süreci</w:t>
      </w:r>
      <w:r w:rsidRPr="003333D8">
        <w:rPr>
          <w:rFonts w:ascii="Arial" w:hAnsi="Arial" w:cs="Arial"/>
          <w:color w:val="auto"/>
          <w:szCs w:val="20"/>
        </w:rPr>
        <w:t xml:space="preserve"> </w:t>
      </w:r>
    </w:p>
    <w:p w:rsidR="00342D1A" w:rsidRPr="003333D8" w:rsidRDefault="00342D1A" w:rsidP="00A6183D">
      <w:pPr>
        <w:pStyle w:val="Balk2"/>
        <w:rPr>
          <w:color w:val="auto"/>
        </w:rPr>
      </w:pPr>
      <w:r w:rsidRPr="003333D8">
        <w:rPr>
          <w:rStyle w:val="Gl"/>
          <w:b/>
          <w:bCs/>
          <w:color w:val="auto"/>
        </w:rPr>
        <w:t>1. Proje Başlığı</w:t>
      </w:r>
    </w:p>
    <w:p w:rsidR="00D76241" w:rsidRPr="00D76241" w:rsidRDefault="00D76241" w:rsidP="00D76241">
      <w:pPr>
        <w:spacing w:before="100" w:beforeAutospacing="1" w:after="100" w:afterAutospacing="1" w:line="240" w:lineRule="auto"/>
        <w:jc w:val="both"/>
        <w:rPr>
          <w:rFonts w:ascii="Arial" w:eastAsia="Times New Roman" w:hAnsi="Arial" w:cs="Arial"/>
          <w:sz w:val="20"/>
          <w:szCs w:val="20"/>
          <w:lang w:eastAsia="tr-TR"/>
        </w:rPr>
      </w:pPr>
      <w:r w:rsidRPr="00D76241">
        <w:rPr>
          <w:rFonts w:ascii="Arial" w:eastAsia="Times New Roman" w:hAnsi="Arial" w:cs="Arial"/>
          <w:sz w:val="20"/>
          <w:szCs w:val="20"/>
          <w:lang w:eastAsia="tr-TR"/>
        </w:rPr>
        <w:t xml:space="preserve">ISO, </w:t>
      </w:r>
      <w:r w:rsidR="00415E49">
        <w:rPr>
          <w:rFonts w:ascii="Arial" w:eastAsia="Times New Roman" w:hAnsi="Arial" w:cs="Arial"/>
          <w:sz w:val="20"/>
          <w:szCs w:val="20"/>
          <w:lang w:eastAsia="tr-TR"/>
        </w:rPr>
        <w:t>U</w:t>
      </w:r>
      <w:r w:rsidRPr="00D76241">
        <w:rPr>
          <w:rFonts w:ascii="Arial" w:eastAsia="Times New Roman" w:hAnsi="Arial" w:cs="Arial"/>
          <w:sz w:val="20"/>
          <w:szCs w:val="20"/>
          <w:lang w:eastAsia="tr-TR"/>
        </w:rPr>
        <w:t>lus</w:t>
      </w:r>
      <w:r w:rsidR="00415E49">
        <w:rPr>
          <w:rFonts w:ascii="Arial" w:eastAsia="Times New Roman" w:hAnsi="Arial" w:cs="Arial"/>
          <w:sz w:val="20"/>
          <w:szCs w:val="20"/>
          <w:lang w:eastAsia="tr-TR"/>
        </w:rPr>
        <w:t>lararası Standardizasyon Örgütünün (</w:t>
      </w:r>
      <w:r w:rsidR="00415E49" w:rsidRPr="00D76241">
        <w:rPr>
          <w:rFonts w:ascii="Arial" w:eastAsia="Times New Roman" w:hAnsi="Arial" w:cs="Arial"/>
          <w:sz w:val="20"/>
          <w:szCs w:val="20"/>
          <w:lang w:eastAsia="tr-TR"/>
        </w:rPr>
        <w:t xml:space="preserve">International </w:t>
      </w:r>
      <w:proofErr w:type="spellStart"/>
      <w:r w:rsidR="00415E49" w:rsidRPr="00D76241">
        <w:rPr>
          <w:rFonts w:ascii="Arial" w:eastAsia="Times New Roman" w:hAnsi="Arial" w:cs="Arial"/>
          <w:sz w:val="20"/>
          <w:szCs w:val="20"/>
          <w:lang w:eastAsia="tr-TR"/>
        </w:rPr>
        <w:t>Organization</w:t>
      </w:r>
      <w:proofErr w:type="spellEnd"/>
      <w:r w:rsidR="00415E49" w:rsidRPr="00D76241">
        <w:rPr>
          <w:rFonts w:ascii="Arial" w:eastAsia="Times New Roman" w:hAnsi="Arial" w:cs="Arial"/>
          <w:sz w:val="20"/>
          <w:szCs w:val="20"/>
          <w:lang w:eastAsia="tr-TR"/>
        </w:rPr>
        <w:t xml:space="preserve"> </w:t>
      </w:r>
      <w:proofErr w:type="spellStart"/>
      <w:r w:rsidR="00415E49" w:rsidRPr="00D76241">
        <w:rPr>
          <w:rFonts w:ascii="Arial" w:eastAsia="Times New Roman" w:hAnsi="Arial" w:cs="Arial"/>
          <w:sz w:val="20"/>
          <w:szCs w:val="20"/>
          <w:lang w:eastAsia="tr-TR"/>
        </w:rPr>
        <w:t>for</w:t>
      </w:r>
      <w:proofErr w:type="spellEnd"/>
      <w:r w:rsidR="00415E49" w:rsidRPr="00D76241">
        <w:rPr>
          <w:rFonts w:ascii="Arial" w:eastAsia="Times New Roman" w:hAnsi="Arial" w:cs="Arial"/>
          <w:sz w:val="20"/>
          <w:szCs w:val="20"/>
          <w:lang w:eastAsia="tr-TR"/>
        </w:rPr>
        <w:t xml:space="preserve"> </w:t>
      </w:r>
      <w:proofErr w:type="spellStart"/>
      <w:r w:rsidR="00415E49" w:rsidRPr="00D76241">
        <w:rPr>
          <w:rFonts w:ascii="Arial" w:eastAsia="Times New Roman" w:hAnsi="Arial" w:cs="Arial"/>
          <w:sz w:val="20"/>
          <w:szCs w:val="20"/>
          <w:lang w:eastAsia="tr-TR"/>
        </w:rPr>
        <w:t>Standardization</w:t>
      </w:r>
      <w:proofErr w:type="spellEnd"/>
      <w:r w:rsidR="00415E49">
        <w:rPr>
          <w:rFonts w:ascii="Arial" w:eastAsia="Times New Roman" w:hAnsi="Arial" w:cs="Arial"/>
          <w:sz w:val="20"/>
          <w:szCs w:val="20"/>
          <w:lang w:eastAsia="tr-TR"/>
        </w:rPr>
        <w:t>)</w:t>
      </w:r>
      <w:r w:rsidR="00E567AB">
        <w:rPr>
          <w:rFonts w:ascii="Arial" w:eastAsia="Times New Roman" w:hAnsi="Arial" w:cs="Arial"/>
          <w:sz w:val="20"/>
          <w:szCs w:val="20"/>
          <w:lang w:eastAsia="tr-TR"/>
        </w:rPr>
        <w:t xml:space="preserve"> kısaltmasıdır. Bu örgüt</w:t>
      </w:r>
      <w:r w:rsidRPr="00D76241">
        <w:rPr>
          <w:rFonts w:ascii="Arial" w:eastAsia="Times New Roman" w:hAnsi="Arial" w:cs="Arial"/>
          <w:sz w:val="20"/>
          <w:szCs w:val="20"/>
          <w:lang w:eastAsia="tr-TR"/>
        </w:rPr>
        <w:t xml:space="preserve"> dünya genelinde kabul görmüş standartların geliştirilmesi ve teşvik edilmesinden sorumludur. ISO belgelendirme, bir organizasyonun belirli bir standartta tanımlanan gerekliliklere uygun olarak çalıştığını bağımsız bir denetim kuruluşu tarafından onaylama sürecidir. Bu süreç, bir kuruluşun kalite, güvenlik, çevre yönetimi veya bilgi güvenliği gibi alanlarda uluslararası kabul görmüş </w:t>
      </w:r>
      <w:proofErr w:type="gramStart"/>
      <w:r w:rsidRPr="00D76241">
        <w:rPr>
          <w:rFonts w:ascii="Arial" w:eastAsia="Times New Roman" w:hAnsi="Arial" w:cs="Arial"/>
          <w:sz w:val="20"/>
          <w:szCs w:val="20"/>
          <w:lang w:eastAsia="tr-TR"/>
        </w:rPr>
        <w:t>kriterlere</w:t>
      </w:r>
      <w:proofErr w:type="gramEnd"/>
      <w:r w:rsidRPr="00D76241">
        <w:rPr>
          <w:rFonts w:ascii="Arial" w:eastAsia="Times New Roman" w:hAnsi="Arial" w:cs="Arial"/>
          <w:sz w:val="20"/>
          <w:szCs w:val="20"/>
          <w:lang w:eastAsia="tr-TR"/>
        </w:rPr>
        <w:t xml:space="preserve"> uygun şekilde çalıştığını tescil eder.</w:t>
      </w:r>
    </w:p>
    <w:p w:rsidR="00D76241" w:rsidRPr="00D76241" w:rsidRDefault="00D76241" w:rsidP="00D76241">
      <w:pPr>
        <w:spacing w:before="100" w:beforeAutospacing="1" w:after="100" w:afterAutospacing="1" w:line="240" w:lineRule="auto"/>
        <w:jc w:val="both"/>
        <w:rPr>
          <w:rFonts w:ascii="Arial" w:eastAsia="Times New Roman" w:hAnsi="Arial" w:cs="Arial"/>
          <w:sz w:val="20"/>
          <w:szCs w:val="20"/>
          <w:lang w:eastAsia="tr-TR"/>
        </w:rPr>
      </w:pPr>
      <w:r w:rsidRPr="00D76241">
        <w:rPr>
          <w:rFonts w:ascii="Arial" w:eastAsia="Times New Roman" w:hAnsi="Arial" w:cs="Arial"/>
          <w:sz w:val="20"/>
          <w:szCs w:val="20"/>
          <w:lang w:eastAsia="tr-TR"/>
        </w:rPr>
        <w:t>ISO belgelendirme, kuruluşlara birçok avantaj sağlar. Öncelikle, iş süreçlerini düzenleyerek verimliliği artırır. Ayrıca, müşterilere ve iş ortaklarına güven verir, çünkü bir ISO sertifikası, organizasyonun işleyişinin sistematik ve şeffaf olduğunu gösterir. Bunun yanı sıra, yasal düzenlemelere uyum sağlamayı kolaylaştırır ve uluslararası pazarda rekabet avantajı sunar.</w:t>
      </w:r>
    </w:p>
    <w:p w:rsidR="00D76241" w:rsidRPr="00D76241" w:rsidRDefault="00D76241" w:rsidP="00D76241">
      <w:pPr>
        <w:spacing w:before="100" w:beforeAutospacing="1" w:after="100" w:afterAutospacing="1" w:line="240" w:lineRule="auto"/>
        <w:jc w:val="both"/>
        <w:rPr>
          <w:rFonts w:ascii="Arial" w:eastAsia="Times New Roman" w:hAnsi="Arial" w:cs="Arial"/>
          <w:sz w:val="20"/>
          <w:szCs w:val="20"/>
          <w:lang w:eastAsia="tr-TR"/>
        </w:rPr>
      </w:pPr>
      <w:r w:rsidRPr="00D76241">
        <w:rPr>
          <w:rFonts w:ascii="Arial" w:eastAsia="Times New Roman" w:hAnsi="Arial" w:cs="Arial"/>
          <w:sz w:val="20"/>
          <w:szCs w:val="20"/>
          <w:lang w:eastAsia="tr-TR"/>
        </w:rPr>
        <w:t xml:space="preserve">ISO standartlarının en temel prensiplerinden biri olan </w:t>
      </w:r>
      <w:r w:rsidRPr="003333D8">
        <w:rPr>
          <w:rFonts w:ascii="Arial" w:eastAsia="Times New Roman" w:hAnsi="Arial" w:cs="Arial"/>
          <w:sz w:val="20"/>
          <w:szCs w:val="20"/>
          <w:lang w:eastAsia="tr-TR"/>
        </w:rPr>
        <w:t>“Yazdığını yap, yaptığını yaz”</w:t>
      </w:r>
      <w:r w:rsidRPr="00D76241">
        <w:rPr>
          <w:rFonts w:ascii="Arial" w:eastAsia="Times New Roman" w:hAnsi="Arial" w:cs="Arial"/>
          <w:sz w:val="20"/>
          <w:szCs w:val="20"/>
          <w:lang w:eastAsia="tr-TR"/>
        </w:rPr>
        <w:t xml:space="preserve"> anlayışı, süreçlerin hem dokümantasyonla tanımlanmasını hem de bu dokümantasyonlara uygun şekilde uygulanmasını gerektirir. Bu yaklaşım, hem şeffaflığı artırır hem de organizasyon içindeki süreçlerin izlenebilirliğini sağlar.</w:t>
      </w:r>
    </w:p>
    <w:p w:rsidR="00A44FD2" w:rsidRPr="00A44FD2" w:rsidRDefault="00A44FD2" w:rsidP="00A44FD2">
      <w:pPr>
        <w:pStyle w:val="Balk2"/>
        <w:rPr>
          <w:rStyle w:val="Gl"/>
        </w:rPr>
      </w:pPr>
      <w:r w:rsidRPr="00A44FD2">
        <w:rPr>
          <w:rStyle w:val="Gl"/>
          <w:b/>
          <w:bCs/>
          <w:color w:val="auto"/>
        </w:rPr>
        <w:t>2. Önerilen Proje Süresi</w:t>
      </w:r>
      <w:r w:rsidR="001D4111">
        <w:rPr>
          <w:rStyle w:val="Gl"/>
          <w:b/>
          <w:bCs/>
          <w:color w:val="auto"/>
        </w:rPr>
        <w:t>, Toplam Bütçe ve Destek Miktarı</w:t>
      </w:r>
    </w:p>
    <w:p w:rsidR="00A44FD2" w:rsidRPr="003333D8" w:rsidRDefault="00A44FD2" w:rsidP="00A44FD2">
      <w:pPr>
        <w:pStyle w:val="NormalWeb"/>
        <w:spacing w:line="276" w:lineRule="auto"/>
        <w:jc w:val="both"/>
        <w:rPr>
          <w:rFonts w:ascii="Arial" w:hAnsi="Arial" w:cs="Arial"/>
          <w:sz w:val="20"/>
          <w:szCs w:val="20"/>
        </w:rPr>
      </w:pPr>
      <w:r w:rsidRPr="003333D8">
        <w:rPr>
          <w:rFonts w:ascii="Arial" w:hAnsi="Arial" w:cs="Arial"/>
          <w:sz w:val="20"/>
          <w:szCs w:val="20"/>
        </w:rPr>
        <w:t>Bu proje için önerilen toplam süre 12 aydır. Bu süre, projenin kapsamı ve hedefleri göz önünde bulundurularak beli</w:t>
      </w:r>
      <w:r w:rsidR="00B95C95">
        <w:rPr>
          <w:rFonts w:ascii="Arial" w:hAnsi="Arial" w:cs="Arial"/>
          <w:sz w:val="20"/>
          <w:szCs w:val="20"/>
        </w:rPr>
        <w:t>rlenmiştir. Her bir aşama, GAP A</w:t>
      </w:r>
      <w:r w:rsidRPr="003333D8">
        <w:rPr>
          <w:rFonts w:ascii="Arial" w:hAnsi="Arial" w:cs="Arial"/>
          <w:sz w:val="20"/>
          <w:szCs w:val="20"/>
        </w:rPr>
        <w:t xml:space="preserve">nalizi, </w:t>
      </w:r>
      <w:r w:rsidR="0018671A">
        <w:rPr>
          <w:rFonts w:ascii="Arial" w:hAnsi="Arial" w:cs="Arial"/>
          <w:sz w:val="20"/>
          <w:szCs w:val="20"/>
        </w:rPr>
        <w:t xml:space="preserve">Eğitim, Risk Yönetimi, Dokümantasyon, </w:t>
      </w:r>
      <w:r w:rsidR="000F0778">
        <w:rPr>
          <w:rFonts w:ascii="Arial" w:hAnsi="Arial" w:cs="Arial"/>
          <w:sz w:val="20"/>
          <w:szCs w:val="20"/>
        </w:rPr>
        <w:t>Kontrol</w:t>
      </w:r>
      <w:r w:rsidRPr="003333D8">
        <w:rPr>
          <w:rFonts w:ascii="Arial" w:hAnsi="Arial" w:cs="Arial"/>
          <w:sz w:val="20"/>
          <w:szCs w:val="20"/>
        </w:rPr>
        <w:t xml:space="preserve"> ve </w:t>
      </w:r>
      <w:r w:rsidR="000F0778">
        <w:rPr>
          <w:rFonts w:ascii="Arial" w:hAnsi="Arial" w:cs="Arial"/>
          <w:sz w:val="20"/>
          <w:szCs w:val="20"/>
        </w:rPr>
        <w:t>B</w:t>
      </w:r>
      <w:r w:rsidRPr="003333D8">
        <w:rPr>
          <w:rFonts w:ascii="Arial" w:hAnsi="Arial" w:cs="Arial"/>
          <w:sz w:val="20"/>
          <w:szCs w:val="20"/>
        </w:rPr>
        <w:t xml:space="preserve">elgelendirme gibi bölümler halinde planlanmıştır ve bu aşamalar için gereken süre detaylı bir şekilde hesaplanmıştır. 12 aylık süre zarfında, proje ekibi her bir adımı zamanında ve etkin bir şekilde tamamlamayı hedeflemiştir. </w:t>
      </w:r>
    </w:p>
    <w:p w:rsidR="00B83E73" w:rsidRDefault="002065E7" w:rsidP="002065E7">
      <w:pPr>
        <w:pStyle w:val="NormalWeb"/>
        <w:spacing w:line="276" w:lineRule="auto"/>
        <w:jc w:val="both"/>
        <w:rPr>
          <w:rFonts w:ascii="Arial" w:hAnsi="Arial" w:cs="Arial"/>
          <w:sz w:val="20"/>
          <w:szCs w:val="20"/>
        </w:rPr>
      </w:pPr>
      <w:r w:rsidRPr="003333D8">
        <w:rPr>
          <w:rFonts w:ascii="Arial" w:hAnsi="Arial" w:cs="Arial"/>
          <w:sz w:val="20"/>
          <w:szCs w:val="20"/>
        </w:rPr>
        <w:t xml:space="preserve">Projenin toplam bütçesi </w:t>
      </w:r>
      <w:proofErr w:type="gramStart"/>
      <w:r w:rsidRPr="003333D8">
        <w:rPr>
          <w:rFonts w:ascii="Arial" w:hAnsi="Arial" w:cs="Arial"/>
          <w:sz w:val="20"/>
          <w:szCs w:val="20"/>
        </w:rPr>
        <w:t>1,380,599</w:t>
      </w:r>
      <w:proofErr w:type="gramEnd"/>
      <w:r w:rsidRPr="003333D8">
        <w:rPr>
          <w:rFonts w:ascii="Arial" w:hAnsi="Arial" w:cs="Arial"/>
          <w:sz w:val="20"/>
          <w:szCs w:val="20"/>
        </w:rPr>
        <w:t xml:space="preserve"> TL olarak belirlenmiştir. Bu bütçe, gerekli </w:t>
      </w:r>
      <w:proofErr w:type="gramStart"/>
      <w:r w:rsidRPr="003333D8">
        <w:rPr>
          <w:rFonts w:ascii="Arial" w:hAnsi="Arial" w:cs="Arial"/>
          <w:sz w:val="20"/>
          <w:szCs w:val="20"/>
        </w:rPr>
        <w:t>ekipman</w:t>
      </w:r>
      <w:proofErr w:type="gramEnd"/>
      <w:r w:rsidRPr="003333D8">
        <w:rPr>
          <w:rFonts w:ascii="Arial" w:hAnsi="Arial" w:cs="Arial"/>
          <w:sz w:val="20"/>
          <w:szCs w:val="20"/>
        </w:rPr>
        <w:t xml:space="preserve">, hizmet alımları, seyahat ve sarf malzemesi giderlerini kapsamaktadır. Ayrıca, bütçenin bir kısmı, belgelendirme ve danışmanlık gibi uzmanlık gerektiren süreçlerde kullanılacaktır. </w:t>
      </w:r>
    </w:p>
    <w:p w:rsidR="00EB6555" w:rsidRDefault="00FA2676" w:rsidP="00A420E0">
      <w:pPr>
        <w:pStyle w:val="NormalWeb"/>
        <w:spacing w:line="276" w:lineRule="auto"/>
        <w:jc w:val="both"/>
        <w:rPr>
          <w:rStyle w:val="Gl"/>
          <w:rFonts w:ascii="Arial" w:hAnsi="Arial" w:cs="Arial"/>
          <w:b w:val="0"/>
          <w:bCs w:val="0"/>
          <w:sz w:val="20"/>
          <w:szCs w:val="20"/>
        </w:rPr>
      </w:pPr>
      <w:r w:rsidRPr="003333D8">
        <w:rPr>
          <w:rFonts w:ascii="Arial" w:hAnsi="Arial" w:cs="Arial"/>
          <w:sz w:val="20"/>
          <w:szCs w:val="20"/>
        </w:rPr>
        <w:t xml:space="preserve">Bu proje için farklı kurumlar destek sağlamaktadır. </w:t>
      </w:r>
      <w:r w:rsidR="00EB6555" w:rsidRPr="00EB6555">
        <w:rPr>
          <w:rStyle w:val="Gl"/>
          <w:rFonts w:ascii="Arial" w:hAnsi="Arial" w:cs="Arial"/>
          <w:b w:val="0"/>
          <w:bCs w:val="0"/>
          <w:sz w:val="20"/>
          <w:szCs w:val="20"/>
        </w:rPr>
        <w:t xml:space="preserve">Enderun Akademi </w:t>
      </w:r>
      <w:r w:rsidR="00EB6555">
        <w:rPr>
          <w:rStyle w:val="Gl"/>
          <w:rFonts w:ascii="Arial" w:hAnsi="Arial" w:cs="Arial"/>
          <w:b w:val="0"/>
          <w:bCs w:val="0"/>
          <w:sz w:val="20"/>
          <w:szCs w:val="20"/>
        </w:rPr>
        <w:t xml:space="preserve">ISO 27001 danışmanı olarak, KIWA </w:t>
      </w:r>
      <w:r w:rsidR="002338A2" w:rsidRPr="003333D8">
        <w:rPr>
          <w:rFonts w:ascii="Arial" w:hAnsi="Arial" w:cs="Arial"/>
          <w:sz w:val="20"/>
          <w:szCs w:val="20"/>
        </w:rPr>
        <w:t>TÜRKAK akredita</w:t>
      </w:r>
      <w:r w:rsidR="00EB6555">
        <w:rPr>
          <w:rFonts w:ascii="Arial" w:hAnsi="Arial" w:cs="Arial"/>
          <w:sz w:val="20"/>
          <w:szCs w:val="20"/>
        </w:rPr>
        <w:t>syonlu belgelendirme kuruluşu olarak</w:t>
      </w:r>
      <w:r w:rsidR="002338A2" w:rsidRPr="003333D8">
        <w:rPr>
          <w:rFonts w:ascii="Arial" w:hAnsi="Arial" w:cs="Arial"/>
          <w:sz w:val="20"/>
          <w:szCs w:val="20"/>
        </w:rPr>
        <w:t xml:space="preserve"> denetim ve sertifikasyon süreçlerini üstlenmiştir. </w:t>
      </w:r>
      <w:proofErr w:type="spellStart"/>
      <w:r w:rsidR="00EB6555">
        <w:rPr>
          <w:rFonts w:ascii="Arial" w:hAnsi="Arial" w:cs="Arial"/>
          <w:sz w:val="20"/>
          <w:szCs w:val="20"/>
        </w:rPr>
        <w:t>Nebula</w:t>
      </w:r>
      <w:proofErr w:type="spellEnd"/>
      <w:r w:rsidR="00EB6555">
        <w:rPr>
          <w:rFonts w:ascii="Arial" w:hAnsi="Arial" w:cs="Arial"/>
          <w:sz w:val="20"/>
          <w:szCs w:val="20"/>
        </w:rPr>
        <w:t xml:space="preserve"> Bilişim, </w:t>
      </w:r>
      <w:proofErr w:type="spellStart"/>
      <w:r w:rsidR="00EB6555" w:rsidRPr="00EB6555">
        <w:rPr>
          <w:rFonts w:ascii="Arial" w:hAnsi="Arial" w:cs="Arial"/>
          <w:sz w:val="20"/>
          <w:szCs w:val="20"/>
        </w:rPr>
        <w:t>Penetrasyon</w:t>
      </w:r>
      <w:proofErr w:type="spellEnd"/>
      <w:r w:rsidR="00EB6555" w:rsidRPr="00EB6555">
        <w:rPr>
          <w:rFonts w:ascii="Arial" w:hAnsi="Arial" w:cs="Arial"/>
          <w:sz w:val="20"/>
          <w:szCs w:val="20"/>
        </w:rPr>
        <w:t xml:space="preserve"> Testi (Sızma), DLP için Veri Sınıflandırma ve Varlık Tespiti Danışmanlık Hizmeti, </w:t>
      </w:r>
      <w:proofErr w:type="spellStart"/>
      <w:r w:rsidR="00EB6555" w:rsidRPr="00EB6555">
        <w:rPr>
          <w:rFonts w:ascii="Arial" w:hAnsi="Arial" w:cs="Arial"/>
          <w:sz w:val="20"/>
          <w:szCs w:val="20"/>
        </w:rPr>
        <w:t>Spam</w:t>
      </w:r>
      <w:proofErr w:type="spellEnd"/>
      <w:r w:rsidR="00A420E0">
        <w:rPr>
          <w:rFonts w:ascii="Arial" w:hAnsi="Arial" w:cs="Arial"/>
          <w:sz w:val="20"/>
          <w:szCs w:val="20"/>
        </w:rPr>
        <w:t xml:space="preserve"> ve </w:t>
      </w:r>
      <w:proofErr w:type="spellStart"/>
      <w:r w:rsidR="00A420E0">
        <w:rPr>
          <w:rFonts w:ascii="Arial" w:hAnsi="Arial" w:cs="Arial"/>
          <w:sz w:val="20"/>
          <w:szCs w:val="20"/>
        </w:rPr>
        <w:t>Phishing</w:t>
      </w:r>
      <w:proofErr w:type="spellEnd"/>
      <w:r w:rsidR="00A420E0">
        <w:rPr>
          <w:rFonts w:ascii="Arial" w:hAnsi="Arial" w:cs="Arial"/>
          <w:sz w:val="20"/>
          <w:szCs w:val="20"/>
        </w:rPr>
        <w:t xml:space="preserve"> Farkındalık Eğitimi desteği alınmıştır. </w:t>
      </w:r>
      <w:r w:rsidR="00EB6555" w:rsidRPr="003333D8">
        <w:rPr>
          <w:rFonts w:ascii="Arial" w:hAnsi="Arial" w:cs="Arial"/>
          <w:sz w:val="20"/>
          <w:szCs w:val="20"/>
        </w:rPr>
        <w:t xml:space="preserve">Ayrıca, 2024 yılı itibarıyla KOSGEB tarafından sağlanan finansal destek, projenin bir kısmını karşılamıştır. </w:t>
      </w:r>
      <w:r w:rsidR="00EB6555">
        <w:rPr>
          <w:rFonts w:ascii="Arial" w:hAnsi="Arial" w:cs="Arial"/>
          <w:sz w:val="20"/>
          <w:szCs w:val="20"/>
        </w:rPr>
        <w:t>KOSGEB desteğinin üst limiti 300,000 TL olup destek oranı proje bedelinin %60 ı kadardır.</w:t>
      </w:r>
    </w:p>
    <w:p w:rsidR="00567A92" w:rsidRPr="00F94D9B" w:rsidRDefault="00C030BF" w:rsidP="00F94D9B">
      <w:pPr>
        <w:pStyle w:val="Balk2"/>
        <w:numPr>
          <w:ilvl w:val="0"/>
          <w:numId w:val="4"/>
        </w:numPr>
        <w:rPr>
          <w:rStyle w:val="Gl"/>
          <w:b/>
          <w:bCs/>
          <w:color w:val="auto"/>
        </w:rPr>
      </w:pPr>
      <w:r w:rsidRPr="00EA14E2">
        <w:rPr>
          <w:rStyle w:val="Gl"/>
          <w:b/>
          <w:bCs/>
          <w:color w:val="auto"/>
        </w:rPr>
        <w:t>Proje Ekibi</w:t>
      </w:r>
    </w:p>
    <w:p w:rsidR="00567A92" w:rsidRPr="003333D8" w:rsidRDefault="00567A92"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Sedat ÖZTÜRK (Proje Yöneticisi):</w:t>
      </w:r>
      <w:r w:rsidRPr="003333D8">
        <w:rPr>
          <w:rFonts w:ascii="Arial" w:hAnsi="Arial" w:cs="Arial"/>
          <w:sz w:val="20"/>
          <w:szCs w:val="20"/>
        </w:rPr>
        <w:t xml:space="preserve"> Bilgi Teknolojileri alanında uzman olan Sedat ÖZTÜRK, projenin genel koordinasyonundan ve ekipler arası iletişimin sağlanmasından sorumludur.</w:t>
      </w:r>
    </w:p>
    <w:p w:rsidR="00567A92" w:rsidRPr="003333D8" w:rsidRDefault="00567A92"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Ömer ENDEN (Danışman):</w:t>
      </w:r>
      <w:r w:rsidRPr="003333D8">
        <w:rPr>
          <w:rFonts w:ascii="Arial" w:hAnsi="Arial" w:cs="Arial"/>
          <w:sz w:val="20"/>
          <w:szCs w:val="20"/>
        </w:rPr>
        <w:t xml:space="preserve"> ISO 27001 süreçlerinde deneyimli bir uzman olan Ömer ENDEN, risk yönetimi, dokümantasyon ve eğitim süreçlerinde teknik rehberlik sağlamaktadır.</w:t>
      </w:r>
    </w:p>
    <w:p w:rsidR="00567A92" w:rsidRPr="003333D8" w:rsidRDefault="00567A92"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Ahmet Emin BALCI (Satın Alma Sorumlusu):</w:t>
      </w:r>
      <w:r w:rsidRPr="003333D8">
        <w:rPr>
          <w:rFonts w:ascii="Arial" w:hAnsi="Arial" w:cs="Arial"/>
          <w:sz w:val="20"/>
          <w:szCs w:val="20"/>
        </w:rPr>
        <w:t xml:space="preserve"> Projede ihtiyaç duyulan </w:t>
      </w:r>
      <w:proofErr w:type="gramStart"/>
      <w:r w:rsidRPr="003333D8">
        <w:rPr>
          <w:rFonts w:ascii="Arial" w:hAnsi="Arial" w:cs="Arial"/>
          <w:sz w:val="20"/>
          <w:szCs w:val="20"/>
        </w:rPr>
        <w:t>ekipman</w:t>
      </w:r>
      <w:proofErr w:type="gramEnd"/>
      <w:r w:rsidRPr="003333D8">
        <w:rPr>
          <w:rFonts w:ascii="Arial" w:hAnsi="Arial" w:cs="Arial"/>
          <w:sz w:val="20"/>
          <w:szCs w:val="20"/>
        </w:rPr>
        <w:t xml:space="preserve"> ve hizmetlerin tedarik sürecini yöneterek, kaynakların etkin kullanımını sağlamaktadır.</w:t>
      </w:r>
    </w:p>
    <w:p w:rsidR="00567A92" w:rsidRPr="003333D8" w:rsidRDefault="00567A92"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Ahmet Can ŞAHİN (İnsan Kaynakları Sorumlusu):</w:t>
      </w:r>
      <w:r w:rsidRPr="003333D8">
        <w:rPr>
          <w:rFonts w:ascii="Arial" w:hAnsi="Arial" w:cs="Arial"/>
          <w:sz w:val="20"/>
          <w:szCs w:val="20"/>
        </w:rPr>
        <w:t xml:space="preserve"> Çalışan farkındalık eğitimlerinin planlanması ve uygulanmasından sorumludur.</w:t>
      </w:r>
    </w:p>
    <w:p w:rsidR="00567A92" w:rsidRPr="003333D8" w:rsidRDefault="00567A92"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İsmail KARŞIĞA (Risk Yönetimi Sorumlusu):</w:t>
      </w:r>
      <w:r w:rsidRPr="003333D8">
        <w:rPr>
          <w:rFonts w:ascii="Arial" w:hAnsi="Arial" w:cs="Arial"/>
          <w:sz w:val="20"/>
          <w:szCs w:val="20"/>
        </w:rPr>
        <w:t xml:space="preserve"> Bilgi güvenliği risklerinin analiz edilmesi ve yönetilmesinde lider rol oynamaktadır.</w:t>
      </w:r>
    </w:p>
    <w:p w:rsidR="00566180" w:rsidRDefault="00566180" w:rsidP="00756233">
      <w:pPr>
        <w:numPr>
          <w:ilvl w:val="0"/>
          <w:numId w:val="1"/>
        </w:numPr>
        <w:spacing w:before="100" w:beforeAutospacing="1" w:after="100" w:afterAutospacing="1"/>
        <w:jc w:val="both"/>
        <w:rPr>
          <w:rFonts w:ascii="Arial" w:hAnsi="Arial" w:cs="Arial"/>
          <w:sz w:val="20"/>
          <w:szCs w:val="20"/>
        </w:rPr>
      </w:pPr>
      <w:r w:rsidRPr="003333D8">
        <w:rPr>
          <w:rStyle w:val="Gl"/>
          <w:rFonts w:ascii="Arial" w:hAnsi="Arial" w:cs="Arial"/>
          <w:sz w:val="20"/>
          <w:szCs w:val="20"/>
        </w:rPr>
        <w:t>Enver YAMAN (Kalite Güvence Sorumlusu):</w:t>
      </w:r>
      <w:r w:rsidRPr="003333D8">
        <w:rPr>
          <w:rFonts w:ascii="Arial" w:hAnsi="Arial" w:cs="Arial"/>
          <w:sz w:val="20"/>
          <w:szCs w:val="20"/>
        </w:rPr>
        <w:t xml:space="preserve"> Projenin kalite standartlarına uygun şekilde yürütülmesini denetlemektedir.</w:t>
      </w:r>
    </w:p>
    <w:p w:rsidR="003C5973" w:rsidRPr="00744E72" w:rsidRDefault="003C5973" w:rsidP="00744E72">
      <w:pPr>
        <w:pStyle w:val="Balk2"/>
        <w:numPr>
          <w:ilvl w:val="0"/>
          <w:numId w:val="4"/>
        </w:numPr>
        <w:rPr>
          <w:rStyle w:val="Gl"/>
        </w:rPr>
      </w:pPr>
      <w:r w:rsidRPr="00744E72">
        <w:rPr>
          <w:rStyle w:val="Gl"/>
          <w:b/>
          <w:bCs/>
          <w:color w:val="auto"/>
        </w:rPr>
        <w:lastRenderedPageBreak/>
        <w:t>Proje Özeti</w:t>
      </w:r>
    </w:p>
    <w:p w:rsidR="005C0E94" w:rsidRPr="003333D8" w:rsidRDefault="005C0E94" w:rsidP="005C0E94">
      <w:pPr>
        <w:pStyle w:val="NormalWeb"/>
        <w:spacing w:line="276" w:lineRule="auto"/>
        <w:jc w:val="both"/>
        <w:rPr>
          <w:rFonts w:ascii="Arial" w:hAnsi="Arial" w:cs="Arial"/>
          <w:sz w:val="20"/>
          <w:szCs w:val="20"/>
        </w:rPr>
      </w:pPr>
      <w:r w:rsidRPr="003333D8">
        <w:rPr>
          <w:rFonts w:ascii="Arial" w:hAnsi="Arial" w:cs="Arial"/>
          <w:sz w:val="20"/>
          <w:szCs w:val="20"/>
        </w:rPr>
        <w:t>Bilgi güvenliği, dijital çağda her organizasyon için temel bir gereklilik haline gelmiştir. Bilgi varlıklarının korunması, yalnızca iş sürekliliği açısından değil, aynı zamanda müşteri güveni ve yasal uyum açısından da önemlidir. ISO 27001 standardı, bilgi güvenliğini sistematik ve sürdürülebilir bir şekilde yönetmek için uluslararası çapta kabul görmüş bir çerçeve sunar. Bu proje, bir organizasyonun bilgi güvenliği risklerini yönetmesini, uluslararası standartlara uyum sağlamasını ve kurumsal güvenlik kültürünü güçlendirmesini hedefler. Günümüzde siber saldırıların artışı, işletmeleri daha dirençli bir güvenlik altyapısı oluşturmaya zorlamaktadır. Projenin en temel amacı, ISO 27001 standardına uygun bir Bilgi Güvenliği Yönetim Sistemi (BGYS) oluşturarak, kurumun bilgi güvenliği süreçlerini optimize etmektir. Süreç boyunca çalışanların farkındalığını artırmak, dokümantasyon ve uygulamaları standartlara uygun hale getirmek öncelikli hedeftir. Projenin tamamlanmasıyla birlikte, kuruluşun bilgi güvenliği alanındaki yetkinlikleri uluslararası düzeyde tescillenecektir.</w:t>
      </w:r>
    </w:p>
    <w:p w:rsidR="003C5973" w:rsidRDefault="003C59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Bu proje, ISO 27001 standardına uygun bir Bilgi Güvenliği Yönetim Sistemi (BGYS) kurarak organizasyonun bilgi varlıklarını koruma ve iş sürekliliğini sağlama hedefini taşımaktadır. Proje, bilgi güvenliği süreçlerini uluslararası standartlarla uyumlu hale getirerek, yasal düzenlemelere uygunluk sağlamayı amaçlamaktadır. GAP analiziyle mevcut süreçler değerlendirilmiş ve eksiklikler belirlenmiştir. Risk yönetimi aşamasında, bilgi varlıkları detaylı bir şekilde analiz edilmiş ve olası tehditler </w:t>
      </w:r>
      <w:proofErr w:type="spellStart"/>
      <w:r w:rsidRPr="003333D8">
        <w:rPr>
          <w:rFonts w:ascii="Arial" w:hAnsi="Arial" w:cs="Arial"/>
          <w:sz w:val="20"/>
          <w:szCs w:val="20"/>
        </w:rPr>
        <w:t>önceliklendirilmiştir</w:t>
      </w:r>
      <w:proofErr w:type="spellEnd"/>
      <w:r w:rsidRPr="003333D8">
        <w:rPr>
          <w:rFonts w:ascii="Arial" w:hAnsi="Arial" w:cs="Arial"/>
          <w:sz w:val="20"/>
          <w:szCs w:val="20"/>
        </w:rPr>
        <w:t xml:space="preserve">. Çalışan farkındalığı eğitimleri ile bilgi güvenliği bilinci artırılmıştır. ISO 27001'e uygun dokümantasyon hazırlanmış, tüm süreçler standartlara </w:t>
      </w:r>
      <w:proofErr w:type="gramStart"/>
      <w:r w:rsidRPr="003333D8">
        <w:rPr>
          <w:rFonts w:ascii="Arial" w:hAnsi="Arial" w:cs="Arial"/>
          <w:sz w:val="20"/>
          <w:szCs w:val="20"/>
        </w:rPr>
        <w:t>entegre</w:t>
      </w:r>
      <w:proofErr w:type="gramEnd"/>
      <w:r w:rsidRPr="003333D8">
        <w:rPr>
          <w:rFonts w:ascii="Arial" w:hAnsi="Arial" w:cs="Arial"/>
          <w:sz w:val="20"/>
          <w:szCs w:val="20"/>
        </w:rPr>
        <w:t xml:space="preserve"> edilmiştir. İç denetim ve belgelendirme sürecinin ardından organizasyon, ISO 27001 sertifikasını alarak bilgi güvenliği konusundaki yetkinliğini kanıtlamıştır. Proje, aynı zamanda sürdürülebilir bir bilgi güvenliği altyapısının oluşturulmasına da odaklanmıştır. Elde edilen sonuçlar, organizasyonun uluslararası pazardaki konumunu güçlendirecek ve müşteri güvenini artıracaktır.</w:t>
      </w:r>
    </w:p>
    <w:p w:rsidR="00D34CFA" w:rsidRPr="00ED3A16" w:rsidRDefault="00D34CFA" w:rsidP="00F50D71">
      <w:pPr>
        <w:pStyle w:val="Balk2"/>
        <w:numPr>
          <w:ilvl w:val="0"/>
          <w:numId w:val="4"/>
        </w:numPr>
        <w:rPr>
          <w:rStyle w:val="Gl"/>
          <w:b/>
          <w:bCs/>
          <w:color w:val="auto"/>
        </w:rPr>
      </w:pPr>
      <w:r w:rsidRPr="00ED3A16">
        <w:rPr>
          <w:rStyle w:val="Gl"/>
          <w:b/>
          <w:bCs/>
          <w:color w:val="auto"/>
        </w:rPr>
        <w:t>Amaç</w:t>
      </w:r>
    </w:p>
    <w:p w:rsidR="0088433C" w:rsidRPr="004F04EE" w:rsidRDefault="004F04EE" w:rsidP="00223B94">
      <w:pPr>
        <w:pStyle w:val="NormalWeb"/>
        <w:spacing w:line="276" w:lineRule="auto"/>
        <w:jc w:val="both"/>
        <w:rPr>
          <w:rFonts w:ascii="Arial" w:hAnsi="Arial" w:cs="Arial"/>
          <w:sz w:val="20"/>
          <w:szCs w:val="20"/>
        </w:rPr>
      </w:pPr>
      <w:r w:rsidRPr="004F04EE">
        <w:rPr>
          <w:rFonts w:ascii="Arial" w:hAnsi="Arial" w:cs="Arial"/>
          <w:sz w:val="20"/>
          <w:szCs w:val="20"/>
        </w:rPr>
        <w:t>Bu projenin temel amacı, ISO/IEC 27001:2022 standardına uygun bir Bilgi Güvenliği Yönetim Sistemi (BGYS) kurarak organizasyonun bilgi varlıklarının korunmasını, bilgi güvenliği risklerinin sistematik ve etkin bir şekilde yönetilmesini sağlamaktır.</w:t>
      </w:r>
      <w:r w:rsidR="00E9283B">
        <w:rPr>
          <w:rFonts w:ascii="Arial" w:hAnsi="Arial" w:cs="Arial"/>
          <w:sz w:val="20"/>
          <w:szCs w:val="20"/>
        </w:rPr>
        <w:t xml:space="preserve"> </w:t>
      </w:r>
      <w:r w:rsidR="00E9283B" w:rsidRPr="00E9283B">
        <w:rPr>
          <w:rFonts w:ascii="Arial" w:hAnsi="Arial" w:cs="Arial"/>
          <w:sz w:val="20"/>
          <w:szCs w:val="20"/>
        </w:rPr>
        <w:t>Proje kapsamında, firmanın uluslararası geçerliliğe sahip ve TÜRKAK akreditasyonlu bir belgelendirme kuruluşu tarafından denetlenmesi sonucunda ISO/IEC 27001:2022 BGYS belgesinin kazandırılması öngörülmektedir.</w:t>
      </w:r>
    </w:p>
    <w:p w:rsidR="00071773" w:rsidRPr="00F50D71" w:rsidRDefault="00071773" w:rsidP="00F50D71">
      <w:pPr>
        <w:pStyle w:val="Balk2"/>
        <w:numPr>
          <w:ilvl w:val="0"/>
          <w:numId w:val="4"/>
        </w:numPr>
        <w:rPr>
          <w:rStyle w:val="Gl"/>
        </w:rPr>
      </w:pPr>
      <w:r w:rsidRPr="00F50D71">
        <w:rPr>
          <w:rStyle w:val="Gl"/>
          <w:b/>
          <w:bCs/>
          <w:color w:val="auto"/>
        </w:rPr>
        <w:t>Konu ve Kapsam</w:t>
      </w:r>
    </w:p>
    <w:p w:rsidR="009E5F15"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Proje, organizasyonların bilgi güvenliği süreçlerini uluslararası standartlara uygun hale getirmeyi hedeflemektedir. Kapsam, organizasyonun tüm bilgi varlıklarını (elektronik, yazılı ve sözlü) korumayı içerir. Ayrıca, organizasyon genelinde tüm çalışanlar, sözleşmeli personel, alt yükleniciler ve kullanılan cihazlar bu kapsam </w:t>
      </w:r>
      <w:proofErr w:type="gramStart"/>
      <w:r w:rsidRPr="003333D8">
        <w:rPr>
          <w:rFonts w:ascii="Arial" w:hAnsi="Arial" w:cs="Arial"/>
          <w:sz w:val="20"/>
          <w:szCs w:val="20"/>
        </w:rPr>
        <w:t>dahilindedir</w:t>
      </w:r>
      <w:proofErr w:type="gramEnd"/>
      <w:r w:rsidRPr="003333D8">
        <w:rPr>
          <w:rFonts w:ascii="Arial" w:hAnsi="Arial" w:cs="Arial"/>
          <w:sz w:val="20"/>
          <w:szCs w:val="20"/>
        </w:rPr>
        <w:t xml:space="preserve">. Proje, bilginin gizliliğini, bütünlüğünü ve erişilebilirliğini sağlayarak güvenlik risklerini en aza indirmeyi amaçlamaktadır. </w:t>
      </w:r>
    </w:p>
    <w:tbl>
      <w:tblPr>
        <w:tblStyle w:val="TabloKlavuzu"/>
        <w:tblW w:w="0" w:type="auto"/>
        <w:tblInd w:w="108" w:type="dxa"/>
        <w:tblCellMar>
          <w:top w:w="57" w:type="dxa"/>
          <w:left w:w="57" w:type="dxa"/>
          <w:bottom w:w="57" w:type="dxa"/>
          <w:right w:w="57" w:type="dxa"/>
        </w:tblCellMar>
        <w:tblLook w:val="04A0" w:firstRow="1" w:lastRow="0" w:firstColumn="1" w:lastColumn="0" w:noHBand="0" w:noVBand="1"/>
      </w:tblPr>
      <w:tblGrid>
        <w:gridCol w:w="1509"/>
        <w:gridCol w:w="7567"/>
      </w:tblGrid>
      <w:tr w:rsidR="009E5F15" w:rsidRPr="00D92308" w:rsidTr="00773370">
        <w:tc>
          <w:tcPr>
            <w:tcW w:w="1509" w:type="dxa"/>
          </w:tcPr>
          <w:p w:rsidR="009E5F15" w:rsidRPr="00D92308" w:rsidRDefault="009E5F15" w:rsidP="00E145AA">
            <w:pPr>
              <w:pStyle w:val="WW-NormalWeb1"/>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Gizlilik</w:t>
            </w:r>
          </w:p>
        </w:tc>
        <w:tc>
          <w:tcPr>
            <w:tcW w:w="7567" w:type="dxa"/>
          </w:tcPr>
          <w:p w:rsidR="009E5F15" w:rsidRPr="00D92308" w:rsidRDefault="009E5F15" w:rsidP="00E145AA">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Önem taşıyan bilgilere yetkisiz erişimlerin önlenmesi</w:t>
            </w:r>
          </w:p>
        </w:tc>
      </w:tr>
      <w:tr w:rsidR="009E5F15" w:rsidRPr="00D92308" w:rsidTr="00773370">
        <w:tc>
          <w:tcPr>
            <w:tcW w:w="1509" w:type="dxa"/>
          </w:tcPr>
          <w:p w:rsidR="009E5F15" w:rsidRPr="00D92308" w:rsidRDefault="009E5F15" w:rsidP="00E145AA">
            <w:pPr>
              <w:pStyle w:val="WW-NormalWeb1"/>
              <w:spacing w:before="0" w:after="0" w:line="276" w:lineRule="auto"/>
              <w:jc w:val="both"/>
              <w:rPr>
                <w:rFonts w:ascii="Arial" w:hAnsi="Arial" w:cs="Arial"/>
                <w:b/>
                <w:bCs/>
                <w:color w:val="000000"/>
                <w:sz w:val="20"/>
                <w:szCs w:val="20"/>
              </w:rPr>
            </w:pPr>
            <w:r w:rsidRPr="00D92308">
              <w:rPr>
                <w:rFonts w:ascii="Arial" w:hAnsi="Arial" w:cs="Arial"/>
                <w:b/>
                <w:bCs/>
                <w:color w:val="000000"/>
                <w:sz w:val="20"/>
                <w:szCs w:val="20"/>
              </w:rPr>
              <w:t>Bütünlük</w:t>
            </w:r>
          </w:p>
        </w:tc>
        <w:tc>
          <w:tcPr>
            <w:tcW w:w="7567" w:type="dxa"/>
          </w:tcPr>
          <w:p w:rsidR="009E5F15" w:rsidRPr="00D92308" w:rsidRDefault="009E5F15" w:rsidP="00E145AA">
            <w:pPr>
              <w:spacing w:line="276" w:lineRule="auto"/>
              <w:jc w:val="both"/>
              <w:rPr>
                <w:rFonts w:ascii="Arial" w:hAnsi="Arial" w:cs="Arial"/>
                <w:color w:val="000000"/>
                <w:lang w:eastAsia="ar-SA"/>
              </w:rPr>
            </w:pPr>
            <w:r w:rsidRPr="00D92308">
              <w:rPr>
                <w:rFonts w:ascii="Arial" w:hAnsi="Arial" w:cs="Arial"/>
                <w:color w:val="000000"/>
                <w:lang w:eastAsia="ar-SA"/>
              </w:rPr>
              <w:t>Bilginin doğruluk ve bütünlüğünün sağlandığının gösterilmesi</w:t>
            </w:r>
          </w:p>
        </w:tc>
      </w:tr>
      <w:tr w:rsidR="009E5F15" w:rsidRPr="00D92308" w:rsidTr="00773370">
        <w:tc>
          <w:tcPr>
            <w:tcW w:w="1509" w:type="dxa"/>
          </w:tcPr>
          <w:p w:rsidR="009E5F15" w:rsidRPr="00D92308" w:rsidRDefault="009E5F15" w:rsidP="00E145AA">
            <w:pPr>
              <w:pStyle w:val="WW-NormalWeb1"/>
              <w:spacing w:before="0" w:after="0" w:line="276" w:lineRule="auto"/>
              <w:jc w:val="both"/>
              <w:rPr>
                <w:rFonts w:ascii="Arial" w:hAnsi="Arial" w:cs="Arial"/>
                <w:b/>
                <w:bCs/>
                <w:color w:val="000000"/>
                <w:sz w:val="20"/>
                <w:szCs w:val="20"/>
              </w:rPr>
            </w:pPr>
            <w:proofErr w:type="spellStart"/>
            <w:r w:rsidRPr="00D92308">
              <w:rPr>
                <w:rFonts w:ascii="Arial" w:hAnsi="Arial" w:cs="Arial"/>
                <w:b/>
                <w:bCs/>
                <w:color w:val="000000"/>
                <w:sz w:val="20"/>
                <w:szCs w:val="20"/>
              </w:rPr>
              <w:t>Erişebilirlik</w:t>
            </w:r>
            <w:proofErr w:type="spellEnd"/>
          </w:p>
        </w:tc>
        <w:tc>
          <w:tcPr>
            <w:tcW w:w="7567" w:type="dxa"/>
          </w:tcPr>
          <w:p w:rsidR="009E5F15" w:rsidRPr="00D92308" w:rsidRDefault="009E5F15" w:rsidP="00D52B72">
            <w:pPr>
              <w:pStyle w:val="WW-NormalWeb1"/>
              <w:spacing w:before="0" w:after="0" w:line="276" w:lineRule="auto"/>
              <w:jc w:val="both"/>
              <w:rPr>
                <w:rFonts w:ascii="Arial" w:hAnsi="Arial" w:cs="Arial"/>
                <w:color w:val="000000"/>
                <w:sz w:val="20"/>
                <w:szCs w:val="20"/>
              </w:rPr>
            </w:pPr>
            <w:r w:rsidRPr="00D92308">
              <w:rPr>
                <w:rFonts w:ascii="Arial" w:hAnsi="Arial" w:cs="Arial"/>
                <w:color w:val="000000"/>
                <w:sz w:val="20"/>
                <w:szCs w:val="20"/>
              </w:rPr>
              <w:t xml:space="preserve">Yetkisi olanların gerektiği hallerde bilgiye ulaşılabilirliğinin gösterilmesi ilgili sistem standartları, sadece elektronik ortamda tutulan verilerin değil, yazılı, basılı, sözlü ve benzeri ortamda bulunan tüm verilerin güvenliği ile ilgilidir. </w:t>
            </w:r>
          </w:p>
        </w:tc>
      </w:tr>
    </w:tbl>
    <w:p w:rsidR="00071773"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Kapsam genişliği, proje çıktılarının yalnızca mevcut durumu değil, gelecekteki süreçleri de kapsamasını sağlamaktadır.</w:t>
      </w:r>
    </w:p>
    <w:p w:rsidR="000E0281" w:rsidRDefault="000E0281" w:rsidP="000E0281">
      <w:pPr>
        <w:pStyle w:val="Balk2"/>
        <w:numPr>
          <w:ilvl w:val="0"/>
          <w:numId w:val="4"/>
        </w:numPr>
        <w:rPr>
          <w:rStyle w:val="Gl"/>
          <w:b/>
          <w:bCs/>
          <w:color w:val="auto"/>
        </w:rPr>
      </w:pPr>
      <w:r>
        <w:rPr>
          <w:rStyle w:val="Gl"/>
          <w:b/>
          <w:bCs/>
          <w:color w:val="auto"/>
        </w:rPr>
        <w:lastRenderedPageBreak/>
        <w:t>Literatür Özeti</w:t>
      </w:r>
    </w:p>
    <w:p w:rsidR="00C824FA" w:rsidRPr="00E86D93" w:rsidRDefault="00217BEE" w:rsidP="001A0637">
      <w:pPr>
        <w:pStyle w:val="NormalWeb"/>
        <w:spacing w:line="276" w:lineRule="auto"/>
        <w:jc w:val="both"/>
        <w:rPr>
          <w:rFonts w:ascii="Arial" w:hAnsi="Arial" w:cs="Arial"/>
          <w:sz w:val="20"/>
          <w:szCs w:val="20"/>
        </w:rPr>
      </w:pPr>
      <w:proofErr w:type="spellStart"/>
      <w:r>
        <w:rPr>
          <w:rFonts w:ascii="Arial" w:hAnsi="Arial" w:cs="Arial"/>
          <w:sz w:val="20"/>
          <w:szCs w:val="20"/>
        </w:rPr>
        <w:t>Organizasyonel</w:t>
      </w:r>
      <w:proofErr w:type="spellEnd"/>
      <w:r>
        <w:rPr>
          <w:rFonts w:ascii="Arial" w:hAnsi="Arial" w:cs="Arial"/>
          <w:sz w:val="20"/>
          <w:szCs w:val="20"/>
        </w:rPr>
        <w:t xml:space="preserve"> Kazanımlar konusunda </w:t>
      </w:r>
      <w:r w:rsidR="00204710" w:rsidRPr="00204710">
        <w:rPr>
          <w:rFonts w:ascii="Arial" w:hAnsi="Arial" w:cs="Arial"/>
          <w:sz w:val="20"/>
          <w:szCs w:val="20"/>
        </w:rPr>
        <w:t xml:space="preserve">Thomas R. </w:t>
      </w:r>
      <w:proofErr w:type="spellStart"/>
      <w:r w:rsidR="00204710" w:rsidRPr="00204710">
        <w:rPr>
          <w:rFonts w:ascii="Arial" w:hAnsi="Arial" w:cs="Arial"/>
          <w:sz w:val="20"/>
          <w:szCs w:val="20"/>
        </w:rPr>
        <w:t>Peltier</w:t>
      </w:r>
      <w:proofErr w:type="spellEnd"/>
      <w:r w:rsidR="00204710" w:rsidRPr="00204710">
        <w:rPr>
          <w:rFonts w:ascii="Arial" w:hAnsi="Arial" w:cs="Arial"/>
          <w:sz w:val="20"/>
          <w:szCs w:val="20"/>
        </w:rPr>
        <w:t xml:space="preserve"> </w:t>
      </w:r>
      <w:r w:rsidR="00E86D93" w:rsidRPr="00E86D93">
        <w:rPr>
          <w:rFonts w:ascii="Arial" w:hAnsi="Arial" w:cs="Arial"/>
          <w:sz w:val="20"/>
          <w:szCs w:val="20"/>
        </w:rPr>
        <w:t xml:space="preserve">(2016), </w:t>
      </w:r>
      <w:r>
        <w:rPr>
          <w:rFonts w:ascii="Arial" w:hAnsi="Arial" w:cs="Arial"/>
          <w:sz w:val="20"/>
          <w:szCs w:val="20"/>
        </w:rPr>
        <w:t xml:space="preserve">kitabında </w:t>
      </w:r>
      <w:r w:rsidR="00E86D93" w:rsidRPr="00E86D93">
        <w:rPr>
          <w:rFonts w:ascii="Arial" w:hAnsi="Arial" w:cs="Arial"/>
          <w:sz w:val="20"/>
          <w:szCs w:val="20"/>
        </w:rPr>
        <w:t xml:space="preserve">bilgi güvenliği yönetiminin iş hedeflerini destekleyecek şekilde </w:t>
      </w:r>
      <w:proofErr w:type="gramStart"/>
      <w:r w:rsidR="00E86D93" w:rsidRPr="00E86D93">
        <w:rPr>
          <w:rFonts w:ascii="Arial" w:hAnsi="Arial" w:cs="Arial"/>
          <w:sz w:val="20"/>
          <w:szCs w:val="20"/>
        </w:rPr>
        <w:t>entegre</w:t>
      </w:r>
      <w:proofErr w:type="gramEnd"/>
      <w:r w:rsidR="00E86D93" w:rsidRPr="00E86D93">
        <w:rPr>
          <w:rFonts w:ascii="Arial" w:hAnsi="Arial" w:cs="Arial"/>
          <w:sz w:val="20"/>
          <w:szCs w:val="20"/>
        </w:rPr>
        <w:t xml:space="preserve"> edilmesi gerektiğini vurgular. Etkili bir bilgi güvenliği programı, bilgi varlıklarını korurken iş hedeflerine ulaşmayı kolaylaştırır.</w:t>
      </w:r>
    </w:p>
    <w:p w:rsidR="00571ECB" w:rsidRDefault="00217BEE" w:rsidP="001A0637">
      <w:pPr>
        <w:pStyle w:val="NormalWeb"/>
        <w:spacing w:line="276" w:lineRule="auto"/>
        <w:jc w:val="both"/>
        <w:rPr>
          <w:rFonts w:ascii="Arial" w:hAnsi="Arial" w:cs="Arial"/>
          <w:sz w:val="20"/>
          <w:szCs w:val="20"/>
        </w:rPr>
      </w:pPr>
      <w:r>
        <w:rPr>
          <w:rFonts w:ascii="Arial" w:hAnsi="Arial" w:cs="Arial"/>
          <w:sz w:val="20"/>
          <w:szCs w:val="20"/>
        </w:rPr>
        <w:t>Uyum ve Yasal Gereklilikler konusunda Prof</w:t>
      </w:r>
      <w:r w:rsidR="00BC518C" w:rsidRPr="00BC518C">
        <w:rPr>
          <w:rFonts w:ascii="Arial" w:hAnsi="Arial" w:cs="Arial"/>
          <w:sz w:val="20"/>
          <w:szCs w:val="20"/>
        </w:rPr>
        <w:t xml:space="preserve">. Edward </w:t>
      </w:r>
      <w:proofErr w:type="spellStart"/>
      <w:r w:rsidR="00BC518C" w:rsidRPr="00BC518C">
        <w:rPr>
          <w:rFonts w:ascii="Arial" w:hAnsi="Arial" w:cs="Arial"/>
          <w:sz w:val="20"/>
          <w:szCs w:val="20"/>
        </w:rPr>
        <w:t>Humphreys</w:t>
      </w:r>
      <w:proofErr w:type="spellEnd"/>
      <w:r w:rsidR="00442306">
        <w:rPr>
          <w:rFonts w:ascii="Arial" w:hAnsi="Arial" w:cs="Arial"/>
          <w:sz w:val="20"/>
          <w:szCs w:val="20"/>
        </w:rPr>
        <w:t xml:space="preserve"> </w:t>
      </w:r>
      <w:r w:rsidR="00442306" w:rsidRPr="00442306">
        <w:rPr>
          <w:rFonts w:ascii="Arial" w:hAnsi="Arial" w:cs="Arial"/>
          <w:sz w:val="20"/>
          <w:szCs w:val="20"/>
        </w:rPr>
        <w:t>ISO 27001’in GDPR gibi veri koruma düzenlemeleriyle uyumda kritik bir rol oynadığını belirtir.</w:t>
      </w:r>
      <w:r w:rsidR="00442306">
        <w:rPr>
          <w:rFonts w:ascii="Arial" w:hAnsi="Arial" w:cs="Arial"/>
          <w:sz w:val="20"/>
          <w:szCs w:val="20"/>
        </w:rPr>
        <w:t xml:space="preserve"> </w:t>
      </w:r>
      <w:r w:rsidR="00442306" w:rsidRPr="00442306">
        <w:rPr>
          <w:rFonts w:ascii="Arial" w:hAnsi="Arial" w:cs="Arial"/>
          <w:sz w:val="20"/>
          <w:szCs w:val="20"/>
        </w:rPr>
        <w:t>Standart, kişisel veri koruma gerekliliklerini karşılamada organizasyonlara rehberlik eder ve yasal risklerin azaltılmasını sağlar.</w:t>
      </w:r>
      <w:r w:rsidR="00571ECB">
        <w:rPr>
          <w:rFonts w:ascii="Arial" w:hAnsi="Arial" w:cs="Arial"/>
          <w:sz w:val="20"/>
          <w:szCs w:val="20"/>
        </w:rPr>
        <w:t xml:space="preserve"> </w:t>
      </w:r>
    </w:p>
    <w:p w:rsidR="002A7908" w:rsidRDefault="006A6E46" w:rsidP="009F2B6A">
      <w:pPr>
        <w:pStyle w:val="NormalWeb"/>
        <w:spacing w:line="276" w:lineRule="auto"/>
        <w:jc w:val="both"/>
        <w:rPr>
          <w:rFonts w:ascii="Arial" w:hAnsi="Arial" w:cs="Arial"/>
          <w:sz w:val="20"/>
          <w:szCs w:val="20"/>
        </w:rPr>
      </w:pPr>
      <w:r>
        <w:rPr>
          <w:rFonts w:ascii="Arial" w:hAnsi="Arial" w:cs="Arial"/>
          <w:sz w:val="20"/>
          <w:szCs w:val="20"/>
        </w:rPr>
        <w:t xml:space="preserve">Literatürdeki Boşluklar 3 başlıkta değerlendirilmiştir. </w:t>
      </w:r>
    </w:p>
    <w:p w:rsidR="002A7908" w:rsidRDefault="006A6E46" w:rsidP="00B25664">
      <w:pPr>
        <w:pStyle w:val="AralkYok"/>
        <w:jc w:val="both"/>
        <w:rPr>
          <w:rFonts w:ascii="Arial" w:eastAsia="Times New Roman" w:hAnsi="Arial" w:cs="Arial"/>
          <w:sz w:val="20"/>
          <w:szCs w:val="20"/>
          <w:lang w:eastAsia="tr-TR"/>
        </w:rPr>
      </w:pPr>
      <w:r w:rsidRPr="00C51D76">
        <w:rPr>
          <w:rFonts w:ascii="Arial" w:eastAsia="Times New Roman" w:hAnsi="Arial" w:cs="Arial"/>
          <w:sz w:val="20"/>
          <w:szCs w:val="20"/>
          <w:lang w:eastAsia="tr-TR"/>
        </w:rPr>
        <w:t>Kurumlara Özel Uyarlamalar</w:t>
      </w:r>
      <w:r w:rsidR="00C51D76" w:rsidRPr="00C51D76">
        <w:rPr>
          <w:rFonts w:ascii="Arial" w:eastAsia="Times New Roman" w:hAnsi="Arial" w:cs="Arial"/>
          <w:sz w:val="20"/>
          <w:szCs w:val="20"/>
          <w:lang w:eastAsia="tr-TR"/>
        </w:rPr>
        <w:t xml:space="preserve"> ISO 27001’in farklı organizasyonlara uygulanması konusunda genel bilgiler sunsa da, kuruma özel uygulamalar yeterince ele alınmamıştır.</w:t>
      </w:r>
      <w:r w:rsidR="009F2B6A">
        <w:rPr>
          <w:rFonts w:ascii="Arial" w:eastAsia="Times New Roman" w:hAnsi="Arial" w:cs="Arial"/>
          <w:sz w:val="20"/>
          <w:szCs w:val="20"/>
          <w:lang w:eastAsia="tr-TR"/>
        </w:rPr>
        <w:t xml:space="preserve"> </w:t>
      </w:r>
      <w:proofErr w:type="spellStart"/>
      <w:r w:rsidR="009F2B6A" w:rsidRPr="009F2B6A">
        <w:rPr>
          <w:rFonts w:ascii="Arial" w:eastAsia="Times New Roman" w:hAnsi="Arial" w:cs="Arial"/>
          <w:sz w:val="20"/>
          <w:szCs w:val="20"/>
          <w:lang w:eastAsia="tr-TR"/>
        </w:rPr>
        <w:t>Areej</w:t>
      </w:r>
      <w:proofErr w:type="spellEnd"/>
      <w:r w:rsidR="009F2B6A" w:rsidRPr="009F2B6A">
        <w:rPr>
          <w:rFonts w:ascii="Arial" w:eastAsia="Times New Roman" w:hAnsi="Arial" w:cs="Arial"/>
          <w:sz w:val="20"/>
          <w:szCs w:val="20"/>
          <w:lang w:eastAsia="tr-TR"/>
        </w:rPr>
        <w:t xml:space="preserve"> </w:t>
      </w:r>
      <w:proofErr w:type="spellStart"/>
      <w:r w:rsidR="009F2B6A" w:rsidRPr="009F2B6A">
        <w:rPr>
          <w:rFonts w:ascii="Arial" w:eastAsia="Times New Roman" w:hAnsi="Arial" w:cs="Arial"/>
          <w:sz w:val="20"/>
          <w:szCs w:val="20"/>
          <w:lang w:eastAsia="tr-TR"/>
        </w:rPr>
        <w:t>AlHogail</w:t>
      </w:r>
      <w:proofErr w:type="spellEnd"/>
      <w:r w:rsidR="009F2B6A" w:rsidRPr="009F2B6A">
        <w:rPr>
          <w:rFonts w:ascii="Arial" w:eastAsia="Times New Roman" w:hAnsi="Arial" w:cs="Arial"/>
          <w:sz w:val="20"/>
          <w:szCs w:val="20"/>
          <w:lang w:eastAsia="tr-TR"/>
        </w:rPr>
        <w:t xml:space="preserve"> (2018), kuruma özgü BGYS tasarımlarının ve risk değerlendirme yöntemlerinin geliştirilmesinin önemini vurgular.</w:t>
      </w:r>
    </w:p>
    <w:p w:rsidR="00AF01C6" w:rsidRPr="00C51D76" w:rsidRDefault="00AF01C6" w:rsidP="00B25664">
      <w:pPr>
        <w:pStyle w:val="AralkYok"/>
        <w:jc w:val="both"/>
        <w:rPr>
          <w:rFonts w:ascii="Arial" w:eastAsia="Times New Roman" w:hAnsi="Arial" w:cs="Arial"/>
          <w:sz w:val="20"/>
          <w:szCs w:val="20"/>
          <w:lang w:eastAsia="tr-TR"/>
        </w:rPr>
      </w:pPr>
    </w:p>
    <w:p w:rsidR="002A7908" w:rsidRPr="00BE5D7F" w:rsidRDefault="006A6E46" w:rsidP="00B25664">
      <w:pPr>
        <w:pStyle w:val="AralkYok"/>
        <w:jc w:val="both"/>
        <w:rPr>
          <w:rFonts w:ascii="Arial" w:eastAsia="Times New Roman" w:hAnsi="Arial" w:cs="Arial"/>
          <w:sz w:val="20"/>
          <w:szCs w:val="20"/>
          <w:lang w:eastAsia="tr-TR"/>
        </w:rPr>
      </w:pPr>
      <w:r w:rsidRPr="00BE5D7F">
        <w:rPr>
          <w:rFonts w:ascii="Arial" w:eastAsia="Times New Roman" w:hAnsi="Arial" w:cs="Arial"/>
          <w:sz w:val="20"/>
          <w:szCs w:val="20"/>
          <w:lang w:eastAsia="tr-TR"/>
        </w:rPr>
        <w:t>Süreçlerin Sürdürülebilirliği</w:t>
      </w:r>
      <w:r w:rsidR="00BE5D7F" w:rsidRPr="00BE5D7F">
        <w:rPr>
          <w:rFonts w:ascii="Arial" w:eastAsia="Times New Roman" w:hAnsi="Arial" w:cs="Arial"/>
          <w:sz w:val="20"/>
          <w:szCs w:val="20"/>
          <w:lang w:eastAsia="tr-TR"/>
        </w:rPr>
        <w:t xml:space="preserve"> konusunda ISO 27001 sistemlerinin sürdürülebilir yönetimi hakkında yeterince çalışma yapılmamıştır.</w:t>
      </w:r>
      <w:r w:rsidR="00980971">
        <w:rPr>
          <w:rFonts w:ascii="Arial" w:eastAsia="Times New Roman" w:hAnsi="Arial" w:cs="Arial"/>
          <w:sz w:val="20"/>
          <w:szCs w:val="20"/>
          <w:lang w:eastAsia="tr-TR"/>
        </w:rPr>
        <w:t xml:space="preserve"> </w:t>
      </w:r>
      <w:proofErr w:type="spellStart"/>
      <w:r w:rsidR="00997347" w:rsidRPr="00997347">
        <w:rPr>
          <w:rFonts w:ascii="Arial" w:eastAsia="Times New Roman" w:hAnsi="Arial" w:cs="Arial"/>
          <w:sz w:val="20"/>
          <w:szCs w:val="20"/>
          <w:lang w:eastAsia="tr-TR"/>
        </w:rPr>
        <w:t>Siponen</w:t>
      </w:r>
      <w:proofErr w:type="spellEnd"/>
      <w:r w:rsidR="00997347" w:rsidRPr="00997347">
        <w:rPr>
          <w:rFonts w:ascii="Arial" w:eastAsia="Times New Roman" w:hAnsi="Arial" w:cs="Arial"/>
          <w:sz w:val="20"/>
          <w:szCs w:val="20"/>
          <w:lang w:eastAsia="tr-TR"/>
        </w:rPr>
        <w:t xml:space="preserve"> &amp; </w:t>
      </w:r>
      <w:proofErr w:type="spellStart"/>
      <w:r w:rsidR="00997347" w:rsidRPr="00997347">
        <w:rPr>
          <w:rFonts w:ascii="Arial" w:eastAsia="Times New Roman" w:hAnsi="Arial" w:cs="Arial"/>
          <w:sz w:val="20"/>
          <w:szCs w:val="20"/>
          <w:lang w:eastAsia="tr-TR"/>
        </w:rPr>
        <w:t>Willison</w:t>
      </w:r>
      <w:proofErr w:type="spellEnd"/>
      <w:r w:rsidR="00997347" w:rsidRPr="00997347">
        <w:rPr>
          <w:rFonts w:ascii="Arial" w:eastAsia="Times New Roman" w:hAnsi="Arial" w:cs="Arial"/>
          <w:sz w:val="20"/>
          <w:szCs w:val="20"/>
          <w:lang w:eastAsia="tr-TR"/>
        </w:rPr>
        <w:t xml:space="preserve"> (2009), sürekli eğitim, performans değerlendirme ve iç denetim süreçlerinin eksikliğine dikkat çekmiştir.</w:t>
      </w:r>
    </w:p>
    <w:p w:rsidR="00BE5D7F" w:rsidRPr="00B25664" w:rsidRDefault="00BE5D7F" w:rsidP="00B25664">
      <w:pPr>
        <w:pStyle w:val="AralkYok"/>
        <w:jc w:val="both"/>
        <w:rPr>
          <w:rFonts w:ascii="Arial" w:eastAsia="Times New Roman" w:hAnsi="Arial" w:cs="Arial"/>
          <w:sz w:val="20"/>
          <w:szCs w:val="20"/>
          <w:lang w:eastAsia="tr-TR"/>
        </w:rPr>
      </w:pPr>
    </w:p>
    <w:p w:rsidR="00BB0A83" w:rsidRPr="00DD5504" w:rsidRDefault="006A6E46" w:rsidP="00B25664">
      <w:pPr>
        <w:pStyle w:val="AralkYok"/>
        <w:jc w:val="both"/>
        <w:rPr>
          <w:rFonts w:ascii="Arial" w:eastAsia="Times New Roman" w:hAnsi="Arial" w:cs="Arial"/>
          <w:sz w:val="20"/>
          <w:szCs w:val="20"/>
          <w:lang w:eastAsia="tr-TR"/>
        </w:rPr>
      </w:pPr>
      <w:r w:rsidRPr="00DD5504">
        <w:rPr>
          <w:rFonts w:ascii="Arial" w:eastAsia="Times New Roman" w:hAnsi="Arial" w:cs="Arial"/>
          <w:sz w:val="20"/>
          <w:szCs w:val="20"/>
          <w:lang w:eastAsia="tr-TR"/>
        </w:rPr>
        <w:t>Çalışan Farkındalığı</w:t>
      </w:r>
      <w:r w:rsidR="00B25664">
        <w:rPr>
          <w:rFonts w:ascii="Arial" w:eastAsia="Times New Roman" w:hAnsi="Arial" w:cs="Arial"/>
          <w:sz w:val="20"/>
          <w:szCs w:val="20"/>
          <w:lang w:eastAsia="tr-TR"/>
        </w:rPr>
        <w:t xml:space="preserve"> kısmında </w:t>
      </w:r>
      <w:r w:rsidR="00B25664" w:rsidRPr="00B25664">
        <w:rPr>
          <w:rFonts w:ascii="Arial" w:eastAsia="Times New Roman" w:hAnsi="Arial" w:cs="Arial"/>
          <w:sz w:val="20"/>
          <w:szCs w:val="20"/>
          <w:lang w:eastAsia="tr-TR"/>
        </w:rPr>
        <w:t>bilgi güvenliği farkındalığı üzerine yapılan çalışmalar sınırlıdır.</w:t>
      </w:r>
      <w:r w:rsidR="00B25664" w:rsidRPr="00B25664">
        <w:rPr>
          <w:rFonts w:ascii="Arial" w:eastAsia="Times New Roman" w:hAnsi="Arial" w:cs="Arial"/>
          <w:sz w:val="20"/>
          <w:szCs w:val="20"/>
          <w:lang w:eastAsia="tr-TR"/>
        </w:rPr>
        <w:t xml:space="preserve"> </w:t>
      </w:r>
      <w:proofErr w:type="spellStart"/>
      <w:r w:rsidR="00B25664" w:rsidRPr="00B25664">
        <w:rPr>
          <w:rFonts w:ascii="Arial" w:eastAsia="Times New Roman" w:hAnsi="Arial" w:cs="Arial"/>
          <w:sz w:val="20"/>
          <w:szCs w:val="20"/>
          <w:lang w:eastAsia="tr-TR"/>
        </w:rPr>
        <w:t>Kritzinger</w:t>
      </w:r>
      <w:proofErr w:type="spellEnd"/>
      <w:r w:rsidR="00B25664" w:rsidRPr="00B25664">
        <w:rPr>
          <w:rFonts w:ascii="Arial" w:eastAsia="Times New Roman" w:hAnsi="Arial" w:cs="Arial"/>
          <w:sz w:val="20"/>
          <w:szCs w:val="20"/>
          <w:lang w:eastAsia="tr-TR"/>
        </w:rPr>
        <w:t xml:space="preserve"> &amp; Smith (2008), bilgi güvenliği farkındalığının artırılması için daha etkin eğitim yöntemlerine ihtiyaç duyulduğunu belirtir.</w:t>
      </w:r>
    </w:p>
    <w:p w:rsidR="00071773" w:rsidRPr="00B25664" w:rsidRDefault="00071773" w:rsidP="00B25664">
      <w:pPr>
        <w:pStyle w:val="Balk2"/>
        <w:numPr>
          <w:ilvl w:val="0"/>
          <w:numId w:val="4"/>
        </w:numPr>
        <w:rPr>
          <w:rStyle w:val="Gl"/>
        </w:rPr>
      </w:pPr>
      <w:r w:rsidRPr="00B25664">
        <w:rPr>
          <w:rStyle w:val="Gl"/>
          <w:b/>
          <w:bCs/>
          <w:color w:val="auto"/>
        </w:rPr>
        <w:t>Özgün Değer</w:t>
      </w:r>
    </w:p>
    <w:p w:rsidR="00FC7565" w:rsidRPr="003333D8" w:rsidRDefault="00FC7565" w:rsidP="00566180">
      <w:pPr>
        <w:pStyle w:val="NormalWeb"/>
        <w:spacing w:line="276" w:lineRule="auto"/>
        <w:jc w:val="both"/>
        <w:rPr>
          <w:rFonts w:ascii="Arial" w:hAnsi="Arial" w:cs="Arial"/>
          <w:sz w:val="20"/>
          <w:szCs w:val="20"/>
        </w:rPr>
      </w:pPr>
      <w:r w:rsidRPr="00FC7565">
        <w:rPr>
          <w:rFonts w:ascii="Arial" w:hAnsi="Arial" w:cs="Arial"/>
          <w:sz w:val="20"/>
          <w:szCs w:val="20"/>
        </w:rPr>
        <w:t xml:space="preserve">Bu araştırma, ISO 27001:2022 Bilgi Güvenliği Yönetim Sistemi (BGYS) standardının kuruma özgü uyarlanması ve sürdürülebilir bir bilgi güvenliği altyapısının oluşturulması konusuna odaklanmaktadır. Araştırmanın temel hipotezi, "ISO 27001:2022’nin kurumsal yapı ve ihtiyaçlara uygun bir şekilde uygulanmasının, bilgi güvenliği risklerini etkili bir şekilde yöneterek </w:t>
      </w:r>
      <w:proofErr w:type="spellStart"/>
      <w:r w:rsidRPr="00FC7565">
        <w:rPr>
          <w:rFonts w:ascii="Arial" w:hAnsi="Arial" w:cs="Arial"/>
          <w:sz w:val="20"/>
          <w:szCs w:val="20"/>
        </w:rPr>
        <w:t>organizasyonel</w:t>
      </w:r>
      <w:proofErr w:type="spellEnd"/>
      <w:r w:rsidRPr="00FC7565">
        <w:rPr>
          <w:rFonts w:ascii="Arial" w:hAnsi="Arial" w:cs="Arial"/>
          <w:sz w:val="20"/>
          <w:szCs w:val="20"/>
        </w:rPr>
        <w:t xml:space="preserve"> dayanıklılığı </w:t>
      </w:r>
      <w:proofErr w:type="spellStart"/>
      <w:r w:rsidRPr="00FC7565">
        <w:rPr>
          <w:rFonts w:ascii="Arial" w:hAnsi="Arial" w:cs="Arial"/>
          <w:sz w:val="20"/>
          <w:szCs w:val="20"/>
        </w:rPr>
        <w:t>artıracağı"dır</w:t>
      </w:r>
      <w:proofErr w:type="spellEnd"/>
      <w:r w:rsidRPr="00FC7565">
        <w:rPr>
          <w:rFonts w:ascii="Arial" w:hAnsi="Arial" w:cs="Arial"/>
          <w:sz w:val="20"/>
          <w:szCs w:val="20"/>
        </w:rPr>
        <w:t>. Ayrıca, sistemin sürdürülebilirliği ve çalışan farkındalığı gibi unsurların iyileştirilmesiyle bilgi güvenliği yönetiminde daha kalıcı ve etkin sonuçlar elde edileceği öngörülmektedir.</w:t>
      </w:r>
    </w:p>
    <w:p w:rsidR="00071773" w:rsidRPr="003333D8"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ISO 27001, bilgi güvenliği yönetimini hem teknik hem de yönetsel süreçlerle ele almaktadır. Literatürde, ISO 27001’in özellikle GDPR gibi yasal düzenlemelerle uyum sağlamada kritik bir araç olduğu vurgulanmıştır. Ancak, </w:t>
      </w:r>
      <w:proofErr w:type="spellStart"/>
      <w:r w:rsidRPr="003333D8">
        <w:rPr>
          <w:rFonts w:ascii="Arial" w:hAnsi="Arial" w:cs="Arial"/>
          <w:sz w:val="20"/>
          <w:szCs w:val="20"/>
        </w:rPr>
        <w:t>sektörel</w:t>
      </w:r>
      <w:proofErr w:type="spellEnd"/>
      <w:r w:rsidRPr="003333D8">
        <w:rPr>
          <w:rFonts w:ascii="Arial" w:hAnsi="Arial" w:cs="Arial"/>
          <w:sz w:val="20"/>
          <w:szCs w:val="20"/>
        </w:rPr>
        <w:t xml:space="preserve"> adaptasyon ve sürdürülebilirlik konularında yeterince çalışma bulunmamaktadır. Bu proje, bu boşluğu doldurarak, </w:t>
      </w:r>
      <w:proofErr w:type="spellStart"/>
      <w:r w:rsidRPr="003333D8">
        <w:rPr>
          <w:rFonts w:ascii="Arial" w:hAnsi="Arial" w:cs="Arial"/>
          <w:sz w:val="20"/>
          <w:szCs w:val="20"/>
        </w:rPr>
        <w:t>sektörel</w:t>
      </w:r>
      <w:proofErr w:type="spellEnd"/>
      <w:r w:rsidRPr="003333D8">
        <w:rPr>
          <w:rFonts w:ascii="Arial" w:hAnsi="Arial" w:cs="Arial"/>
          <w:sz w:val="20"/>
          <w:szCs w:val="20"/>
        </w:rPr>
        <w:t xml:space="preserve"> farklılıkları ve uzun vadeli sürdürülebilirlik mekanizmalarını araştırmıştır. Proje çıktıları, </w:t>
      </w:r>
      <w:proofErr w:type="gramStart"/>
      <w:r w:rsidRPr="003333D8">
        <w:rPr>
          <w:rFonts w:ascii="Arial" w:hAnsi="Arial" w:cs="Arial"/>
          <w:sz w:val="20"/>
          <w:szCs w:val="20"/>
        </w:rPr>
        <w:t>literatürdeki</w:t>
      </w:r>
      <w:proofErr w:type="gramEnd"/>
      <w:r w:rsidRPr="003333D8">
        <w:rPr>
          <w:rFonts w:ascii="Arial" w:hAnsi="Arial" w:cs="Arial"/>
          <w:sz w:val="20"/>
          <w:szCs w:val="20"/>
        </w:rPr>
        <w:t xml:space="preserve"> bu eksikliklere doğrudan katkı sağlayacak şekilde yapılandırılmıştır.</w:t>
      </w:r>
    </w:p>
    <w:p w:rsidR="008C22E2" w:rsidRPr="00FC7565" w:rsidRDefault="008C22E2" w:rsidP="008C22E2">
      <w:pPr>
        <w:pStyle w:val="Balk2"/>
        <w:numPr>
          <w:ilvl w:val="0"/>
          <w:numId w:val="4"/>
        </w:numPr>
        <w:rPr>
          <w:rStyle w:val="Gl"/>
        </w:rPr>
      </w:pPr>
      <w:r w:rsidRPr="0021264B">
        <w:rPr>
          <w:rStyle w:val="Gl"/>
          <w:b/>
          <w:bCs/>
          <w:color w:val="auto"/>
        </w:rPr>
        <w:t>Yöntem</w:t>
      </w:r>
    </w:p>
    <w:p w:rsidR="00071773" w:rsidRPr="003333D8"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Proje, üç temel yöntemle ilerlemiştir: dokümantasyon, eğitim ve belgelendirme. Dokümantasyon sürecinde, ISO 27001 gerekliliklerine uygun </w:t>
      </w:r>
      <w:proofErr w:type="gramStart"/>
      <w:r w:rsidRPr="003333D8">
        <w:rPr>
          <w:rFonts w:ascii="Arial" w:hAnsi="Arial" w:cs="Arial"/>
          <w:sz w:val="20"/>
          <w:szCs w:val="20"/>
        </w:rPr>
        <w:t>prosedürler</w:t>
      </w:r>
      <w:proofErr w:type="gramEnd"/>
      <w:r w:rsidRPr="003333D8">
        <w:rPr>
          <w:rFonts w:ascii="Arial" w:hAnsi="Arial" w:cs="Arial"/>
          <w:sz w:val="20"/>
          <w:szCs w:val="20"/>
        </w:rPr>
        <w:t xml:space="preserve"> ve politikalar hazırlanmıştır. Eğitim aşamasında, çalışanlara farkındalık kazandırılmış ve teknik ekip iç denetim süreçleri konusunda eğitilmiştir. Belgelendirme aşamasında ise, iç denetimlerin ardından uluslararası akreditasyona sahip bir kuruluş tarafından yapılan dış dene</w:t>
      </w:r>
      <w:r w:rsidR="000A037E">
        <w:rPr>
          <w:rFonts w:ascii="Arial" w:hAnsi="Arial" w:cs="Arial"/>
          <w:sz w:val="20"/>
          <w:szCs w:val="20"/>
        </w:rPr>
        <w:t xml:space="preserve">timlerle süreç tamamlanmıştır. </w:t>
      </w:r>
    </w:p>
    <w:p w:rsidR="00071773" w:rsidRPr="003E44E2" w:rsidRDefault="00071773" w:rsidP="003E44E2">
      <w:pPr>
        <w:pStyle w:val="Balk2"/>
        <w:numPr>
          <w:ilvl w:val="0"/>
          <w:numId w:val="4"/>
        </w:numPr>
        <w:rPr>
          <w:rStyle w:val="Gl"/>
        </w:rPr>
      </w:pPr>
      <w:r w:rsidRPr="003E44E2">
        <w:rPr>
          <w:rStyle w:val="Gl"/>
          <w:b/>
          <w:bCs/>
          <w:color w:val="auto"/>
        </w:rPr>
        <w:t>Araştırma Olanakları</w:t>
      </w:r>
      <w:r w:rsidR="004E2383">
        <w:rPr>
          <w:rStyle w:val="Gl"/>
          <w:b/>
          <w:bCs/>
          <w:color w:val="auto"/>
        </w:rPr>
        <w:t xml:space="preserve"> </w:t>
      </w:r>
    </w:p>
    <w:p w:rsidR="00071773"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Projede, mevcut bilgi</w:t>
      </w:r>
      <w:r w:rsidR="004E2383">
        <w:rPr>
          <w:rFonts w:ascii="Arial" w:hAnsi="Arial" w:cs="Arial"/>
          <w:sz w:val="20"/>
          <w:szCs w:val="20"/>
        </w:rPr>
        <w:t xml:space="preserve"> işlem altyapısı, ağ sistemleri, sunucu altyapısı, </w:t>
      </w:r>
      <w:proofErr w:type="spellStart"/>
      <w:r w:rsidR="004E2383">
        <w:rPr>
          <w:rFonts w:ascii="Arial" w:hAnsi="Arial" w:cs="Arial"/>
          <w:sz w:val="20"/>
          <w:szCs w:val="20"/>
        </w:rPr>
        <w:t>Bimser</w:t>
      </w:r>
      <w:proofErr w:type="spellEnd"/>
      <w:r w:rsidR="004E2383">
        <w:rPr>
          <w:rFonts w:ascii="Arial" w:hAnsi="Arial" w:cs="Arial"/>
          <w:sz w:val="20"/>
          <w:szCs w:val="20"/>
        </w:rPr>
        <w:t xml:space="preserve"> (QDMS) </w:t>
      </w:r>
      <w:r w:rsidRPr="003333D8">
        <w:rPr>
          <w:rFonts w:ascii="Arial" w:hAnsi="Arial" w:cs="Arial"/>
          <w:sz w:val="20"/>
          <w:szCs w:val="20"/>
        </w:rPr>
        <w:t xml:space="preserve">yazılımlar etkin bir şekilde kullanılmıştır. Eğitimler için görsel-işitsel araçlar ve interaktif </w:t>
      </w:r>
      <w:proofErr w:type="gramStart"/>
      <w:r w:rsidRPr="003333D8">
        <w:rPr>
          <w:rFonts w:ascii="Arial" w:hAnsi="Arial" w:cs="Arial"/>
          <w:sz w:val="20"/>
          <w:szCs w:val="20"/>
        </w:rPr>
        <w:t>modüller</w:t>
      </w:r>
      <w:proofErr w:type="gramEnd"/>
      <w:r w:rsidRPr="003333D8">
        <w:rPr>
          <w:rFonts w:ascii="Arial" w:hAnsi="Arial" w:cs="Arial"/>
          <w:sz w:val="20"/>
          <w:szCs w:val="20"/>
        </w:rPr>
        <w:t xml:space="preserve"> hazırlanmıştır. Ayrıca, bilgi güvenliği uzmanlarından danışmanlık hizmetleri alınarak süreçler desteklenmiştir. </w:t>
      </w:r>
    </w:p>
    <w:tbl>
      <w:tblPr>
        <w:tblStyle w:val="TabloKlavuzu"/>
        <w:tblW w:w="9072" w:type="dxa"/>
        <w:tblInd w:w="108" w:type="dxa"/>
        <w:tblLayout w:type="fixed"/>
        <w:tblLook w:val="0000" w:firstRow="0" w:lastRow="0" w:firstColumn="0" w:lastColumn="0" w:noHBand="0" w:noVBand="0"/>
      </w:tblPr>
      <w:tblGrid>
        <w:gridCol w:w="2835"/>
        <w:gridCol w:w="6237"/>
      </w:tblGrid>
      <w:tr w:rsidR="005423D1" w:rsidRPr="00D92308" w:rsidTr="005D3DB1">
        <w:tc>
          <w:tcPr>
            <w:tcW w:w="9072" w:type="dxa"/>
            <w:gridSpan w:val="2"/>
          </w:tcPr>
          <w:p w:rsidR="005423D1" w:rsidRPr="00D92308" w:rsidRDefault="005423D1" w:rsidP="00E145AA">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t>Projede Kullanılacak Mevcut Makine – Teçhizat Listesi (*)</w:t>
            </w:r>
          </w:p>
        </w:tc>
      </w:tr>
      <w:tr w:rsidR="005423D1" w:rsidRPr="00D92308" w:rsidTr="005D3DB1">
        <w:tc>
          <w:tcPr>
            <w:tcW w:w="2835" w:type="dxa"/>
          </w:tcPr>
          <w:p w:rsidR="005423D1" w:rsidRPr="00D92308" w:rsidRDefault="005423D1" w:rsidP="00E145AA">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lastRenderedPageBreak/>
              <w:t>Adı/Modeli</w:t>
            </w:r>
          </w:p>
        </w:tc>
        <w:tc>
          <w:tcPr>
            <w:tcW w:w="6237" w:type="dxa"/>
          </w:tcPr>
          <w:p w:rsidR="005423D1" w:rsidRPr="00D92308" w:rsidRDefault="005423D1" w:rsidP="00E145AA">
            <w:pPr>
              <w:pStyle w:val="WW-NormalWeb1"/>
              <w:snapToGrid w:val="0"/>
              <w:spacing w:before="60" w:after="60" w:line="276" w:lineRule="auto"/>
              <w:jc w:val="center"/>
              <w:rPr>
                <w:rFonts w:ascii="Arial" w:hAnsi="Arial" w:cs="Arial"/>
                <w:b/>
                <w:sz w:val="20"/>
                <w:szCs w:val="20"/>
              </w:rPr>
            </w:pPr>
            <w:r w:rsidRPr="00D92308">
              <w:rPr>
                <w:rFonts w:ascii="Arial" w:hAnsi="Arial" w:cs="Arial"/>
                <w:b/>
                <w:sz w:val="20"/>
                <w:szCs w:val="20"/>
              </w:rPr>
              <w:t>Projede Kullanım Amacı</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b/>
                <w:sz w:val="20"/>
                <w:szCs w:val="20"/>
              </w:rPr>
            </w:pPr>
            <w:proofErr w:type="spellStart"/>
            <w:r w:rsidRPr="00D92308">
              <w:rPr>
                <w:rFonts w:ascii="Arial" w:hAnsi="Arial" w:cs="Arial"/>
                <w:sz w:val="20"/>
                <w:szCs w:val="20"/>
              </w:rPr>
              <w:t>Dell</w:t>
            </w:r>
            <w:proofErr w:type="spellEnd"/>
            <w:r w:rsidRPr="00D92308">
              <w:rPr>
                <w:rFonts w:ascii="Arial" w:hAnsi="Arial" w:cs="Arial"/>
                <w:sz w:val="20"/>
                <w:szCs w:val="20"/>
              </w:rPr>
              <w:t xml:space="preserve"> </w:t>
            </w:r>
            <w:proofErr w:type="spellStart"/>
            <w:r w:rsidRPr="00D92308">
              <w:rPr>
                <w:rFonts w:ascii="Arial" w:hAnsi="Arial" w:cs="Arial"/>
                <w:sz w:val="20"/>
                <w:szCs w:val="20"/>
              </w:rPr>
              <w:t>PowerEdge</w:t>
            </w:r>
            <w:proofErr w:type="spellEnd"/>
            <w:r w:rsidRPr="00D92308">
              <w:rPr>
                <w:rFonts w:ascii="Arial" w:hAnsi="Arial" w:cs="Arial"/>
                <w:sz w:val="20"/>
                <w:szCs w:val="20"/>
              </w:rPr>
              <w:t xml:space="preserve"> R740</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Bilgi güvenliği yönetim sistemi için sunucu altyapısının sağlanması, veri işleme ve saklama işlemleri.</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Lenovo</w:t>
            </w:r>
            <w:proofErr w:type="spellEnd"/>
            <w:r w:rsidRPr="00D92308">
              <w:rPr>
                <w:rFonts w:ascii="Arial" w:hAnsi="Arial" w:cs="Arial"/>
                <w:sz w:val="20"/>
                <w:szCs w:val="20"/>
              </w:rPr>
              <w:t xml:space="preserve"> </w:t>
            </w:r>
            <w:proofErr w:type="spellStart"/>
            <w:r w:rsidRPr="00D92308">
              <w:rPr>
                <w:rFonts w:ascii="Arial" w:hAnsi="Arial" w:cs="Arial"/>
                <w:sz w:val="20"/>
                <w:szCs w:val="20"/>
              </w:rPr>
              <w:t>ThinkPad</w:t>
            </w:r>
            <w:proofErr w:type="spellEnd"/>
            <w:r w:rsidRPr="00D92308">
              <w:rPr>
                <w:rFonts w:ascii="Arial" w:hAnsi="Arial" w:cs="Arial"/>
                <w:sz w:val="20"/>
                <w:szCs w:val="20"/>
              </w:rPr>
              <w:t xml:space="preserve"> P15 Gen 2</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Risk analizi, dokümantasyon ve eğitim materyallerinin hazırlanması</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r w:rsidRPr="00D92308">
              <w:rPr>
                <w:rFonts w:ascii="Arial" w:hAnsi="Arial" w:cs="Arial"/>
                <w:sz w:val="20"/>
                <w:szCs w:val="20"/>
              </w:rPr>
              <w:t xml:space="preserve">Microsoft </w:t>
            </w:r>
            <w:proofErr w:type="spellStart"/>
            <w:r w:rsidRPr="00D92308">
              <w:rPr>
                <w:rFonts w:ascii="Arial" w:hAnsi="Arial" w:cs="Arial"/>
                <w:sz w:val="20"/>
                <w:szCs w:val="20"/>
              </w:rPr>
              <w:t>Surface</w:t>
            </w:r>
            <w:proofErr w:type="spellEnd"/>
            <w:r w:rsidRPr="00D92308">
              <w:rPr>
                <w:rFonts w:ascii="Arial" w:hAnsi="Arial" w:cs="Arial"/>
                <w:sz w:val="20"/>
                <w:szCs w:val="20"/>
              </w:rPr>
              <w:t xml:space="preserve"> </w:t>
            </w:r>
            <w:proofErr w:type="spellStart"/>
            <w:r w:rsidRPr="00D92308">
              <w:rPr>
                <w:rFonts w:ascii="Arial" w:hAnsi="Arial" w:cs="Arial"/>
                <w:sz w:val="20"/>
                <w:szCs w:val="20"/>
              </w:rPr>
              <w:t>Hub</w:t>
            </w:r>
            <w:proofErr w:type="spellEnd"/>
            <w:r w:rsidRPr="00D92308">
              <w:rPr>
                <w:rFonts w:ascii="Arial" w:hAnsi="Arial" w:cs="Arial"/>
                <w:sz w:val="20"/>
                <w:szCs w:val="20"/>
              </w:rPr>
              <w:t xml:space="preserve"> 2S</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Çalışan farkındalık eğitimlerinde interaktif sunumların yapılması.</w:t>
            </w:r>
          </w:p>
        </w:tc>
      </w:tr>
      <w:tr w:rsidR="005423D1" w:rsidRPr="00D92308" w:rsidTr="005D3DB1">
        <w:trPr>
          <w:trHeight w:val="447"/>
        </w:trPr>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FortiGate</w:t>
            </w:r>
            <w:proofErr w:type="spellEnd"/>
            <w:r w:rsidRPr="00D92308">
              <w:rPr>
                <w:rFonts w:ascii="Arial" w:hAnsi="Arial" w:cs="Arial"/>
                <w:sz w:val="20"/>
                <w:szCs w:val="20"/>
              </w:rPr>
              <w:t xml:space="preserve"> 100F</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Siber güvenlik önlemlerinin uygulanması, veri erişim kontrollerinin yapılandırılması.</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r w:rsidRPr="00D92308">
              <w:rPr>
                <w:rFonts w:ascii="Arial" w:hAnsi="Arial" w:cs="Arial"/>
                <w:sz w:val="20"/>
                <w:szCs w:val="20"/>
              </w:rPr>
              <w:t xml:space="preserve">HP </w:t>
            </w:r>
            <w:proofErr w:type="spellStart"/>
            <w:r w:rsidRPr="00D92308">
              <w:rPr>
                <w:rFonts w:ascii="Arial" w:hAnsi="Arial" w:cs="Arial"/>
                <w:sz w:val="20"/>
                <w:szCs w:val="20"/>
              </w:rPr>
              <w:t>LaserJet</w:t>
            </w:r>
            <w:proofErr w:type="spellEnd"/>
            <w:r w:rsidRPr="00D92308">
              <w:rPr>
                <w:rFonts w:ascii="Arial" w:hAnsi="Arial" w:cs="Arial"/>
                <w:sz w:val="20"/>
                <w:szCs w:val="20"/>
              </w:rPr>
              <w:t xml:space="preserve"> Pro MFP M428</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 xml:space="preserve">Dokümantasyon süreçlerinde </w:t>
            </w:r>
            <w:proofErr w:type="gramStart"/>
            <w:r w:rsidRPr="00D92308">
              <w:rPr>
                <w:rFonts w:ascii="Arial" w:hAnsi="Arial" w:cs="Arial"/>
                <w:sz w:val="20"/>
                <w:szCs w:val="20"/>
              </w:rPr>
              <w:t>prosedür</w:t>
            </w:r>
            <w:proofErr w:type="gramEnd"/>
            <w:r w:rsidRPr="00D92308">
              <w:rPr>
                <w:rFonts w:ascii="Arial" w:hAnsi="Arial" w:cs="Arial"/>
                <w:sz w:val="20"/>
                <w:szCs w:val="20"/>
              </w:rPr>
              <w:t>, politika ve talimatların yazdırılması ve çoğaltılması.</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proofErr w:type="spellStart"/>
            <w:r w:rsidRPr="00D92308">
              <w:rPr>
                <w:rFonts w:ascii="Arial" w:hAnsi="Arial" w:cs="Arial"/>
                <w:sz w:val="20"/>
                <w:szCs w:val="20"/>
              </w:rPr>
              <w:t>Brother</w:t>
            </w:r>
            <w:proofErr w:type="spellEnd"/>
            <w:r w:rsidRPr="00D92308">
              <w:rPr>
                <w:rFonts w:ascii="Arial" w:hAnsi="Arial" w:cs="Arial"/>
                <w:sz w:val="20"/>
                <w:szCs w:val="20"/>
              </w:rPr>
              <w:t xml:space="preserve"> ADS-2700W Tarayıcı</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 xml:space="preserve">Fiziksel dokümanların dijitalleştirilmesi ve BGYS dokümantasyonuna </w:t>
            </w:r>
            <w:proofErr w:type="gramStart"/>
            <w:r w:rsidRPr="00D92308">
              <w:rPr>
                <w:rFonts w:ascii="Arial" w:hAnsi="Arial" w:cs="Arial"/>
                <w:sz w:val="20"/>
                <w:szCs w:val="20"/>
              </w:rPr>
              <w:t>entegre</w:t>
            </w:r>
            <w:proofErr w:type="gramEnd"/>
            <w:r w:rsidRPr="00D92308">
              <w:rPr>
                <w:rFonts w:ascii="Arial" w:hAnsi="Arial" w:cs="Arial"/>
                <w:sz w:val="20"/>
                <w:szCs w:val="20"/>
              </w:rPr>
              <w:t xml:space="preserve"> edilmesi.</w:t>
            </w:r>
          </w:p>
        </w:tc>
      </w:tr>
      <w:tr w:rsidR="005423D1" w:rsidRPr="00D92308" w:rsidTr="005D3DB1">
        <w:tc>
          <w:tcPr>
            <w:tcW w:w="2835" w:type="dxa"/>
            <w:vAlign w:val="center"/>
          </w:tcPr>
          <w:p w:rsidR="005423D1" w:rsidRPr="00D92308" w:rsidRDefault="005423D1" w:rsidP="00E145AA">
            <w:pPr>
              <w:pStyle w:val="WW-NormalWeb1"/>
              <w:snapToGrid w:val="0"/>
              <w:spacing w:before="60" w:after="60" w:line="276" w:lineRule="auto"/>
              <w:rPr>
                <w:rFonts w:ascii="Arial" w:hAnsi="Arial" w:cs="Arial"/>
                <w:sz w:val="20"/>
                <w:szCs w:val="20"/>
              </w:rPr>
            </w:pPr>
            <w:r w:rsidRPr="00D92308">
              <w:rPr>
                <w:rFonts w:ascii="Arial" w:hAnsi="Arial" w:cs="Arial"/>
                <w:sz w:val="20"/>
                <w:szCs w:val="20"/>
              </w:rPr>
              <w:t>APC Smart-UPS C 1500VA</w:t>
            </w:r>
          </w:p>
        </w:tc>
        <w:tc>
          <w:tcPr>
            <w:tcW w:w="6237" w:type="dxa"/>
          </w:tcPr>
          <w:p w:rsidR="005423D1" w:rsidRPr="00D92308" w:rsidRDefault="005423D1" w:rsidP="00E145AA">
            <w:pPr>
              <w:pStyle w:val="WW-NormalWeb1"/>
              <w:snapToGrid w:val="0"/>
              <w:spacing w:before="60" w:after="60" w:line="276" w:lineRule="auto"/>
              <w:jc w:val="both"/>
              <w:rPr>
                <w:rFonts w:ascii="Arial" w:hAnsi="Arial" w:cs="Arial"/>
                <w:sz w:val="20"/>
                <w:szCs w:val="20"/>
              </w:rPr>
            </w:pPr>
            <w:r w:rsidRPr="00D92308">
              <w:rPr>
                <w:rFonts w:ascii="Arial" w:hAnsi="Arial" w:cs="Arial"/>
                <w:sz w:val="20"/>
                <w:szCs w:val="20"/>
              </w:rPr>
              <w:t>Sunucu ve ağ cihazlarının kesintisiz güç kaynağıyla çalıştırılması, veri kaybının önlenmesi.</w:t>
            </w:r>
          </w:p>
        </w:tc>
      </w:tr>
    </w:tbl>
    <w:p w:rsidR="00071773" w:rsidRPr="008A4086" w:rsidRDefault="00071773" w:rsidP="008A4086">
      <w:pPr>
        <w:pStyle w:val="Balk2"/>
        <w:numPr>
          <w:ilvl w:val="0"/>
          <w:numId w:val="4"/>
        </w:numPr>
        <w:rPr>
          <w:rStyle w:val="Gl"/>
        </w:rPr>
      </w:pPr>
      <w:r w:rsidRPr="008A4086">
        <w:rPr>
          <w:rStyle w:val="Gl"/>
          <w:b/>
          <w:bCs/>
          <w:color w:val="auto"/>
        </w:rPr>
        <w:t>Yaygın Etki ve Katma Değer</w:t>
      </w:r>
    </w:p>
    <w:p w:rsidR="00071773" w:rsidRPr="003333D8"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Proje, ulusal ekonomiye ve </w:t>
      </w:r>
      <w:proofErr w:type="spellStart"/>
      <w:r w:rsidRPr="003333D8">
        <w:rPr>
          <w:rFonts w:ascii="Arial" w:hAnsi="Arial" w:cs="Arial"/>
          <w:sz w:val="20"/>
          <w:szCs w:val="20"/>
        </w:rPr>
        <w:t>organizasyonel</w:t>
      </w:r>
      <w:proofErr w:type="spellEnd"/>
      <w:r w:rsidRPr="003333D8">
        <w:rPr>
          <w:rFonts w:ascii="Arial" w:hAnsi="Arial" w:cs="Arial"/>
          <w:sz w:val="20"/>
          <w:szCs w:val="20"/>
        </w:rPr>
        <w:t xml:space="preserve"> süreçlere önemli bir katkı </w:t>
      </w:r>
      <w:r w:rsidR="005D3DB1">
        <w:rPr>
          <w:rFonts w:ascii="Arial" w:hAnsi="Arial" w:cs="Arial"/>
          <w:sz w:val="20"/>
          <w:szCs w:val="20"/>
        </w:rPr>
        <w:t>sağlamaktadır</w:t>
      </w:r>
      <w:r w:rsidRPr="003333D8">
        <w:rPr>
          <w:rFonts w:ascii="Arial" w:hAnsi="Arial" w:cs="Arial"/>
          <w:sz w:val="20"/>
          <w:szCs w:val="20"/>
        </w:rPr>
        <w:t xml:space="preserve">. ISO 27001 standardı, organizasyona uluslararası pazarda rekabet avantajı sunmuş ve müşteri güvenini artırmıştır. Ayrıca, bilgi güvenliği farkındalığını toplumsal düzeyde artırarak bireylerin dijital güvenliğini desteklemiştir. Proje çıktıları, bilgi güvenliği alanında bilimsel birikime katkıda bulunarak, </w:t>
      </w:r>
      <w:proofErr w:type="spellStart"/>
      <w:r w:rsidRPr="003333D8">
        <w:rPr>
          <w:rFonts w:ascii="Arial" w:hAnsi="Arial" w:cs="Arial"/>
          <w:sz w:val="20"/>
          <w:szCs w:val="20"/>
        </w:rPr>
        <w:t>sektörel</w:t>
      </w:r>
      <w:proofErr w:type="spellEnd"/>
      <w:r w:rsidRPr="003333D8">
        <w:rPr>
          <w:rFonts w:ascii="Arial" w:hAnsi="Arial" w:cs="Arial"/>
          <w:sz w:val="20"/>
          <w:szCs w:val="20"/>
        </w:rPr>
        <w:t xml:space="preserve"> uyarlamalara yönelik yeni bir model sunmuştur. </w:t>
      </w:r>
    </w:p>
    <w:p w:rsidR="00071773" w:rsidRPr="006A683C" w:rsidRDefault="00071773" w:rsidP="006A683C">
      <w:pPr>
        <w:pStyle w:val="Balk2"/>
        <w:numPr>
          <w:ilvl w:val="0"/>
          <w:numId w:val="4"/>
        </w:numPr>
        <w:rPr>
          <w:rStyle w:val="Gl"/>
        </w:rPr>
      </w:pPr>
      <w:r w:rsidRPr="006A683C">
        <w:rPr>
          <w:rStyle w:val="Gl"/>
          <w:b/>
          <w:bCs/>
          <w:color w:val="auto"/>
        </w:rPr>
        <w:t>Çalışma Takvimi</w:t>
      </w:r>
    </w:p>
    <w:p w:rsidR="00071773"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Proje, 12 aylık bir takvim çerçevesinde yürütülmüştür. İlk iki ay proje açılışı ve ekip ataması gerçekleştirilmiştir. 3. ve 4. aylarda GAP analizi yapılmış, eksiklikler raporlanmıştır. 5. ve 6. aylarda eğitim faaliyetleri tamamlanmış, 9. ve 10. aylarda dokümantasyon süreçleri sonuçlandırılmıştır. 11. ayda iç denetimler yapılmış ve 12. ayda sertifikasyon süreci başarıyla tamamlanmıştır. Bu takvim, projenin sistematik bir şekilde ilerlemesini sağlamıştır.</w:t>
      </w:r>
    </w:p>
    <w:tbl>
      <w:tblPr>
        <w:tblStyle w:val="TabloKlavuzu"/>
        <w:tblW w:w="9153" w:type="dxa"/>
        <w:tblInd w:w="107" w:type="dxa"/>
        <w:tblLook w:val="04A0" w:firstRow="1" w:lastRow="0" w:firstColumn="1" w:lastColumn="0" w:noHBand="0" w:noVBand="1"/>
      </w:tblPr>
      <w:tblGrid>
        <w:gridCol w:w="328"/>
        <w:gridCol w:w="3996"/>
        <w:gridCol w:w="390"/>
        <w:gridCol w:w="391"/>
        <w:gridCol w:w="390"/>
        <w:gridCol w:w="390"/>
        <w:gridCol w:w="390"/>
        <w:gridCol w:w="391"/>
        <w:gridCol w:w="390"/>
        <w:gridCol w:w="390"/>
        <w:gridCol w:w="390"/>
        <w:gridCol w:w="439"/>
        <w:gridCol w:w="439"/>
        <w:gridCol w:w="439"/>
      </w:tblGrid>
      <w:tr w:rsidR="00DD5A7B" w:rsidRPr="00A851AC" w:rsidTr="00E145AA">
        <w:trPr>
          <w:trHeight w:val="172"/>
        </w:trPr>
        <w:tc>
          <w:tcPr>
            <w:tcW w:w="4324" w:type="dxa"/>
            <w:gridSpan w:val="2"/>
            <w:vMerge w:val="restart"/>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İş Paketi Ad/Tanım</w:t>
            </w:r>
          </w:p>
        </w:tc>
        <w:tc>
          <w:tcPr>
            <w:tcW w:w="4829" w:type="dxa"/>
            <w:gridSpan w:val="12"/>
            <w:noWrap/>
            <w:hideMark/>
          </w:tcPr>
          <w:p w:rsidR="00DD5A7B" w:rsidRPr="00A851AC" w:rsidRDefault="00DD5A7B" w:rsidP="00E145AA">
            <w:pPr>
              <w:pStyle w:val="WW-NormalWeb1"/>
              <w:snapToGrid w:val="0"/>
              <w:spacing w:before="40" w:after="40" w:line="276" w:lineRule="auto"/>
              <w:jc w:val="center"/>
              <w:rPr>
                <w:rFonts w:ascii="Arial" w:hAnsi="Arial" w:cs="Arial"/>
                <w:sz w:val="20"/>
                <w:szCs w:val="20"/>
              </w:rPr>
            </w:pPr>
            <w:r w:rsidRPr="00A851AC">
              <w:rPr>
                <w:rFonts w:ascii="Arial" w:hAnsi="Arial" w:cs="Arial"/>
                <w:b/>
                <w:bCs/>
                <w:color w:val="000000"/>
                <w:sz w:val="20"/>
                <w:szCs w:val="20"/>
              </w:rPr>
              <w:t>AYLAR</w:t>
            </w:r>
          </w:p>
        </w:tc>
      </w:tr>
      <w:tr w:rsidR="00DD5A7B" w:rsidRPr="00A851AC" w:rsidTr="00E145AA">
        <w:trPr>
          <w:trHeight w:val="206"/>
        </w:trPr>
        <w:tc>
          <w:tcPr>
            <w:tcW w:w="4324" w:type="dxa"/>
            <w:gridSpan w:val="2"/>
            <w:vMerge/>
            <w:hideMark/>
          </w:tcPr>
          <w:p w:rsidR="00DD5A7B" w:rsidRPr="00A851AC" w:rsidRDefault="00DD5A7B" w:rsidP="00E145AA">
            <w:pPr>
              <w:pStyle w:val="WW-NormalWeb1"/>
              <w:spacing w:line="276" w:lineRule="auto"/>
              <w:rPr>
                <w:rFonts w:ascii="Arial" w:hAnsi="Arial" w:cs="Arial"/>
                <w:b/>
                <w:bCs/>
                <w:color w:val="000000"/>
                <w:sz w:val="20"/>
                <w:szCs w:val="20"/>
              </w:rPr>
            </w:pP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1</w:t>
            </w:r>
          </w:p>
        </w:tc>
        <w:tc>
          <w:tcPr>
            <w:tcW w:w="391"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2</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3</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4</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5</w:t>
            </w:r>
          </w:p>
        </w:tc>
        <w:tc>
          <w:tcPr>
            <w:tcW w:w="391"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6</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7</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8</w:t>
            </w:r>
          </w:p>
        </w:tc>
        <w:tc>
          <w:tcPr>
            <w:tcW w:w="390"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9</w:t>
            </w:r>
          </w:p>
        </w:tc>
        <w:tc>
          <w:tcPr>
            <w:tcW w:w="439"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10</w:t>
            </w:r>
          </w:p>
        </w:tc>
        <w:tc>
          <w:tcPr>
            <w:tcW w:w="439"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11</w:t>
            </w:r>
          </w:p>
        </w:tc>
        <w:tc>
          <w:tcPr>
            <w:tcW w:w="439" w:type="dxa"/>
            <w:noWrap/>
            <w:vAlign w:val="center"/>
            <w:hideMark/>
          </w:tcPr>
          <w:p w:rsidR="00DD5A7B" w:rsidRPr="00A851AC" w:rsidRDefault="00DD5A7B" w:rsidP="00E145AA">
            <w:pPr>
              <w:pStyle w:val="WW-NormalWeb1"/>
              <w:snapToGrid w:val="0"/>
              <w:spacing w:before="0" w:after="0" w:line="276" w:lineRule="auto"/>
              <w:jc w:val="center"/>
              <w:rPr>
                <w:rFonts w:ascii="Arial" w:hAnsi="Arial" w:cs="Arial"/>
                <w:b/>
                <w:bCs/>
                <w:color w:val="000000"/>
                <w:sz w:val="20"/>
                <w:szCs w:val="20"/>
              </w:rPr>
            </w:pPr>
            <w:r w:rsidRPr="00A851AC">
              <w:rPr>
                <w:rFonts w:ascii="Arial" w:hAnsi="Arial" w:cs="Arial"/>
                <w:b/>
                <w:bCs/>
                <w:color w:val="000000"/>
                <w:sz w:val="20"/>
                <w:szCs w:val="20"/>
              </w:rPr>
              <w:t>12</w:t>
            </w:r>
          </w:p>
        </w:tc>
      </w:tr>
      <w:tr w:rsidR="00DD5A7B" w:rsidRPr="00A851AC" w:rsidTr="00E145AA">
        <w:trPr>
          <w:trHeight w:val="1241"/>
        </w:trPr>
        <w:tc>
          <w:tcPr>
            <w:tcW w:w="328" w:type="dxa"/>
            <w:noWrap/>
            <w:vAlign w:val="center"/>
          </w:tcPr>
          <w:p w:rsidR="00DD5A7B" w:rsidRPr="00A851AC" w:rsidRDefault="00DD5A7B" w:rsidP="00E145AA">
            <w:pPr>
              <w:rPr>
                <w:rFonts w:ascii="Arial" w:hAnsi="Arial" w:cs="Arial"/>
                <w:b/>
                <w:lang w:eastAsia="ar-SA"/>
              </w:rPr>
            </w:pPr>
            <w:r w:rsidRPr="00A851AC">
              <w:rPr>
                <w:rFonts w:ascii="Arial" w:hAnsi="Arial" w:cs="Arial"/>
                <w:b/>
                <w:lang w:eastAsia="ar-SA"/>
              </w:rPr>
              <w:t>1</w:t>
            </w:r>
          </w:p>
        </w:tc>
        <w:tc>
          <w:tcPr>
            <w:tcW w:w="3996" w:type="dxa"/>
            <w:noWrap/>
            <w:vAlign w:val="center"/>
          </w:tcPr>
          <w:p w:rsidR="00DD5A7B" w:rsidRPr="00B0714A" w:rsidRDefault="00DD5A7B" w:rsidP="00E145AA">
            <w:pPr>
              <w:rPr>
                <w:rFonts w:ascii="Arial" w:hAnsi="Arial" w:cs="Arial"/>
                <w:b/>
                <w:bCs/>
                <w:sz w:val="12"/>
                <w:szCs w:val="12"/>
                <w:lang w:eastAsia="ar-SA"/>
              </w:rPr>
            </w:pPr>
            <w:r w:rsidRPr="00B0714A">
              <w:rPr>
                <w:rFonts w:ascii="Arial" w:hAnsi="Arial" w:cs="Arial"/>
                <w:b/>
                <w:bCs/>
                <w:sz w:val="12"/>
                <w:szCs w:val="12"/>
                <w:lang w:eastAsia="ar-SA"/>
              </w:rPr>
              <w:t>Proje Açılışı</w:t>
            </w:r>
          </w:p>
          <w:p w:rsidR="00DD5A7B" w:rsidRPr="004E205F" w:rsidRDefault="00DD5A7B" w:rsidP="00DD5A7B">
            <w:pPr>
              <w:pStyle w:val="ListeParagraf"/>
              <w:numPr>
                <w:ilvl w:val="0"/>
                <w:numId w:val="2"/>
              </w:numPr>
              <w:ind w:left="132" w:hanging="132"/>
              <w:jc w:val="both"/>
              <w:rPr>
                <w:rFonts w:ascii="Arial" w:hAnsi="Arial" w:cs="Arial"/>
                <w:b/>
                <w:sz w:val="10"/>
                <w:szCs w:val="10"/>
                <w:lang w:eastAsia="ar-SA"/>
              </w:rPr>
            </w:pPr>
            <w:r w:rsidRPr="004E205F">
              <w:rPr>
                <w:rFonts w:ascii="Arial" w:hAnsi="Arial" w:cs="Arial"/>
                <w:b/>
                <w:sz w:val="10"/>
                <w:szCs w:val="10"/>
                <w:lang w:eastAsia="ar-SA"/>
              </w:rPr>
              <w:t>Proje Tanıtımı</w:t>
            </w:r>
            <w:r w:rsidRPr="00C47572">
              <w:rPr>
                <w:rFonts w:ascii="Arial" w:hAnsi="Arial" w:cs="Arial"/>
                <w:sz w:val="10"/>
                <w:szCs w:val="10"/>
                <w:lang w:eastAsia="ar-SA"/>
              </w:rPr>
              <w:t xml:space="preserve">: Projenin hedefleri, kapsamı ve önemi tüm paydaşlara açıklanır. Bilgi güvenliği </w:t>
            </w:r>
            <w:r w:rsidRPr="004E409C">
              <w:rPr>
                <w:rFonts w:ascii="Arial" w:hAnsi="Arial" w:cs="Arial"/>
                <w:sz w:val="10"/>
                <w:szCs w:val="10"/>
                <w:lang w:eastAsia="ar-SA"/>
              </w:rPr>
              <w:t>yönetim sistemi oluşturma sürecinin gerekliliği ve sağlayacağı faydalar vurgulanır.</w:t>
            </w:r>
            <w:r>
              <w:rPr>
                <w:rFonts w:ascii="Arial" w:hAnsi="Arial" w:cs="Arial"/>
                <w:sz w:val="10"/>
                <w:szCs w:val="10"/>
                <w:lang w:eastAsia="ar-SA"/>
              </w:rPr>
              <w:t>(Kapsam ve Hedefler BGYS El Kitabı)</w:t>
            </w:r>
          </w:p>
          <w:p w:rsidR="00DD5A7B" w:rsidRPr="00C47572" w:rsidRDefault="00DD5A7B" w:rsidP="00DD5A7B">
            <w:pPr>
              <w:pStyle w:val="ListeParagraf"/>
              <w:numPr>
                <w:ilvl w:val="0"/>
                <w:numId w:val="2"/>
              </w:numPr>
              <w:ind w:left="132" w:hanging="132"/>
              <w:jc w:val="both"/>
              <w:rPr>
                <w:rFonts w:ascii="Arial" w:hAnsi="Arial" w:cs="Arial"/>
                <w:sz w:val="10"/>
                <w:szCs w:val="10"/>
                <w:lang w:eastAsia="ar-SA"/>
              </w:rPr>
            </w:pPr>
            <w:r w:rsidRPr="004E205F">
              <w:rPr>
                <w:rFonts w:ascii="Arial" w:hAnsi="Arial" w:cs="Arial"/>
                <w:b/>
                <w:sz w:val="10"/>
                <w:szCs w:val="10"/>
                <w:lang w:eastAsia="ar-SA"/>
              </w:rPr>
              <w:t>Proje Ekibinin Atanması</w:t>
            </w:r>
            <w:r w:rsidRPr="00C47572">
              <w:rPr>
                <w:rFonts w:ascii="Arial" w:hAnsi="Arial" w:cs="Arial"/>
                <w:sz w:val="10"/>
                <w:szCs w:val="10"/>
                <w:lang w:eastAsia="ar-SA"/>
              </w:rPr>
              <w:t>: Alanında uzman ekip üyeleri seçilir ve görev dağılımları yapılır. Ekip, bilgi güvenliği yönetiminde ihtiyaç duyulan beceri ve deneyimlere sahip bireylerden oluşur.</w:t>
            </w:r>
          </w:p>
          <w:p w:rsidR="00DD5A7B" w:rsidRPr="00C47572" w:rsidRDefault="00DD5A7B" w:rsidP="00DD5A7B">
            <w:pPr>
              <w:pStyle w:val="ListeParagraf"/>
              <w:numPr>
                <w:ilvl w:val="0"/>
                <w:numId w:val="2"/>
              </w:numPr>
              <w:ind w:left="132" w:hanging="132"/>
              <w:jc w:val="both"/>
              <w:rPr>
                <w:rFonts w:ascii="Arial" w:hAnsi="Arial" w:cs="Arial"/>
                <w:sz w:val="10"/>
                <w:szCs w:val="10"/>
                <w:lang w:eastAsia="ar-SA"/>
              </w:rPr>
            </w:pPr>
            <w:r w:rsidRPr="004E205F">
              <w:rPr>
                <w:rFonts w:ascii="Arial" w:hAnsi="Arial" w:cs="Arial"/>
                <w:b/>
                <w:sz w:val="10"/>
                <w:szCs w:val="10"/>
                <w:lang w:eastAsia="ar-SA"/>
              </w:rPr>
              <w:t>BG Ekibinin Ataması</w:t>
            </w:r>
            <w:r w:rsidRPr="00C47572">
              <w:rPr>
                <w:rFonts w:ascii="Arial" w:hAnsi="Arial" w:cs="Arial"/>
                <w:sz w:val="10"/>
                <w:szCs w:val="10"/>
                <w:lang w:eastAsia="ar-SA"/>
              </w:rPr>
              <w:t>: Bilgi Güvenliği Ekibi, projeye özel olarak atanır ve tüm süreçlerin yürütülmesinde aktif rol oynar. Bu ekip, özellikle dokümantasyon, risk yönetimi ve denetim süreçlerini yönlendirir.</w:t>
            </w:r>
          </w:p>
        </w:tc>
        <w:tc>
          <w:tcPr>
            <w:tcW w:w="390" w:type="dxa"/>
            <w:shd w:val="clear" w:color="auto" w:fill="0D0D0D" w:themeFill="text1" w:themeFillTint="F2"/>
            <w:noWrap/>
            <w:vAlign w:val="center"/>
          </w:tcPr>
          <w:p w:rsidR="00DD5A7B" w:rsidRPr="00A851AC" w:rsidRDefault="00DD5A7B" w:rsidP="00E145AA">
            <w:pPr>
              <w:jc w:val="center"/>
              <w:rPr>
                <w:rFonts w:ascii="Arial" w:hAnsi="Arial" w:cs="Arial"/>
                <w:color w:val="000000" w:themeColor="text1"/>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1260"/>
        </w:trPr>
        <w:tc>
          <w:tcPr>
            <w:tcW w:w="328" w:type="dxa"/>
            <w:noWrap/>
            <w:vAlign w:val="center"/>
          </w:tcPr>
          <w:p w:rsidR="00DD5A7B" w:rsidRPr="00A851AC" w:rsidRDefault="00DD5A7B" w:rsidP="00E145AA">
            <w:pPr>
              <w:rPr>
                <w:rFonts w:ascii="Arial" w:hAnsi="Arial" w:cs="Arial"/>
                <w:b/>
                <w:lang w:eastAsia="ar-SA"/>
              </w:rPr>
            </w:pPr>
            <w:r w:rsidRPr="00A851AC">
              <w:rPr>
                <w:rFonts w:ascii="Arial" w:hAnsi="Arial" w:cs="Arial"/>
                <w:b/>
                <w:lang w:eastAsia="ar-SA"/>
              </w:rPr>
              <w:t>2</w:t>
            </w:r>
          </w:p>
        </w:tc>
        <w:tc>
          <w:tcPr>
            <w:tcW w:w="3996" w:type="dxa"/>
            <w:noWrap/>
            <w:vAlign w:val="center"/>
          </w:tcPr>
          <w:p w:rsidR="00DD5A7B" w:rsidRDefault="00DD5A7B" w:rsidP="00E145AA">
            <w:pPr>
              <w:rPr>
                <w:rFonts w:ascii="Arial" w:hAnsi="Arial" w:cs="Arial"/>
                <w:bCs/>
                <w:sz w:val="12"/>
                <w:szCs w:val="12"/>
                <w:lang w:eastAsia="ar-SA"/>
              </w:rPr>
            </w:pPr>
            <w:r w:rsidRPr="004652FC">
              <w:rPr>
                <w:rFonts w:ascii="Arial" w:hAnsi="Arial" w:cs="Arial"/>
                <w:b/>
                <w:bCs/>
                <w:sz w:val="12"/>
                <w:szCs w:val="12"/>
                <w:lang w:eastAsia="ar-SA"/>
              </w:rPr>
              <w:t>GAP Analizi</w:t>
            </w:r>
          </w:p>
          <w:p w:rsidR="00DD5A7B" w:rsidRPr="007F2FAD" w:rsidRDefault="00DD5A7B" w:rsidP="00DD5A7B">
            <w:pPr>
              <w:pStyle w:val="ListeParagraf"/>
              <w:numPr>
                <w:ilvl w:val="0"/>
                <w:numId w:val="2"/>
              </w:numPr>
              <w:ind w:left="132" w:hanging="132"/>
              <w:jc w:val="both"/>
              <w:rPr>
                <w:rFonts w:ascii="Arial" w:hAnsi="Arial" w:cs="Arial"/>
                <w:sz w:val="10"/>
                <w:szCs w:val="10"/>
                <w:lang w:eastAsia="ar-SA"/>
              </w:rPr>
            </w:pPr>
            <w:r w:rsidRPr="00165369">
              <w:rPr>
                <w:rFonts w:ascii="Arial" w:hAnsi="Arial" w:cs="Arial"/>
                <w:b/>
                <w:sz w:val="10"/>
                <w:szCs w:val="10"/>
                <w:lang w:eastAsia="ar-SA"/>
              </w:rPr>
              <w:t>Mevcut Durum Tespiti</w:t>
            </w:r>
            <w:r w:rsidRPr="007F2FAD">
              <w:rPr>
                <w:rFonts w:ascii="Arial" w:hAnsi="Arial" w:cs="Arial"/>
                <w:sz w:val="10"/>
                <w:szCs w:val="10"/>
                <w:lang w:eastAsia="ar-SA"/>
              </w:rPr>
              <w:t>: Organizasyonun mevcut bilgi güvenliği süreçleri, politikaları ve uygulamaları analiz edilir. Eksikliklerin ve zayıf noktaların belirlenmesi için detaylı bir inceleme yapılır.</w:t>
            </w:r>
            <w:r>
              <w:rPr>
                <w:rFonts w:ascii="Arial" w:hAnsi="Arial" w:cs="Arial"/>
                <w:sz w:val="10"/>
                <w:szCs w:val="10"/>
                <w:lang w:eastAsia="ar-SA"/>
              </w:rPr>
              <w:t xml:space="preserve"> (Tehditler, Zayıflıklar, Risk Yönetimi)</w:t>
            </w:r>
          </w:p>
          <w:p w:rsidR="00DD5A7B" w:rsidRPr="007F2FAD" w:rsidRDefault="00DD5A7B" w:rsidP="00DD5A7B">
            <w:pPr>
              <w:pStyle w:val="ListeParagraf"/>
              <w:numPr>
                <w:ilvl w:val="0"/>
                <w:numId w:val="2"/>
              </w:numPr>
              <w:ind w:left="132" w:hanging="132"/>
              <w:jc w:val="both"/>
              <w:rPr>
                <w:rFonts w:ascii="Arial" w:hAnsi="Arial" w:cs="Arial"/>
                <w:sz w:val="10"/>
                <w:szCs w:val="10"/>
                <w:lang w:eastAsia="ar-SA"/>
              </w:rPr>
            </w:pPr>
            <w:r w:rsidRPr="00165369">
              <w:rPr>
                <w:rFonts w:ascii="Arial" w:hAnsi="Arial" w:cs="Arial"/>
                <w:b/>
                <w:sz w:val="10"/>
                <w:szCs w:val="10"/>
                <w:lang w:eastAsia="ar-SA"/>
              </w:rPr>
              <w:t>Boşluk Analizi</w:t>
            </w:r>
            <w:r w:rsidRPr="007F2FAD">
              <w:rPr>
                <w:rFonts w:ascii="Arial" w:hAnsi="Arial" w:cs="Arial"/>
                <w:sz w:val="10"/>
                <w:szCs w:val="10"/>
                <w:lang w:eastAsia="ar-SA"/>
              </w:rPr>
              <w:t>: ISO 27001 gereklilikleriyle mevcut durum karşılaştırılarak eksiklikler belirlenir. Bu analiz, organizasyonun risklerini ve iyileştirme ihtiyaçlarını açıkça ortaya koyar.</w:t>
            </w:r>
            <w:r>
              <w:rPr>
                <w:rFonts w:ascii="Arial" w:hAnsi="Arial" w:cs="Arial"/>
                <w:sz w:val="10"/>
                <w:szCs w:val="10"/>
                <w:lang w:eastAsia="ar-SA"/>
              </w:rPr>
              <w:t xml:space="preserve"> (BGYS Politikalar El Kitabı)</w:t>
            </w:r>
          </w:p>
          <w:p w:rsidR="00DD5A7B" w:rsidRPr="004652FC" w:rsidRDefault="00DD5A7B" w:rsidP="00DD5A7B">
            <w:pPr>
              <w:pStyle w:val="ListeParagraf"/>
              <w:numPr>
                <w:ilvl w:val="0"/>
                <w:numId w:val="2"/>
              </w:numPr>
              <w:ind w:left="132" w:hanging="132"/>
              <w:jc w:val="both"/>
              <w:rPr>
                <w:rFonts w:ascii="Arial" w:hAnsi="Arial" w:cs="Arial"/>
                <w:sz w:val="12"/>
                <w:szCs w:val="12"/>
                <w:lang w:eastAsia="ar-SA"/>
              </w:rPr>
            </w:pPr>
            <w:r w:rsidRPr="00165369">
              <w:rPr>
                <w:rFonts w:ascii="Arial" w:hAnsi="Arial" w:cs="Arial"/>
                <w:b/>
                <w:sz w:val="10"/>
                <w:szCs w:val="10"/>
                <w:lang w:eastAsia="ar-SA"/>
              </w:rPr>
              <w:t>Raporlama</w:t>
            </w:r>
            <w:r w:rsidRPr="007F2FAD">
              <w:rPr>
                <w:rFonts w:ascii="Arial" w:hAnsi="Arial" w:cs="Arial"/>
                <w:sz w:val="10"/>
                <w:szCs w:val="10"/>
                <w:lang w:eastAsia="ar-SA"/>
              </w:rPr>
              <w:t>: Analiz sonuçları raporlanır ve hangi alanlarda gelişim sağlanması gerektiği belirtilir. Bu rapor, projenin sonraki aşamalarında bir rehber olarak kullanılır.</w:t>
            </w:r>
          </w:p>
        </w:tc>
        <w:tc>
          <w:tcPr>
            <w:tcW w:w="390" w:type="dxa"/>
            <w:shd w:val="clear" w:color="auto" w:fill="0D0D0D" w:themeFill="text1" w:themeFillTint="F2"/>
            <w:noWrap/>
            <w:vAlign w:val="center"/>
          </w:tcPr>
          <w:p w:rsidR="00DD5A7B" w:rsidRPr="00A851AC" w:rsidRDefault="00DD5A7B" w:rsidP="00E145AA">
            <w:pPr>
              <w:jc w:val="center"/>
              <w:rPr>
                <w:rFonts w:ascii="Arial" w:hAnsi="Arial" w:cs="Arial"/>
                <w:color w:val="000000" w:themeColor="text1"/>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highlight w:val="black"/>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377"/>
        </w:trPr>
        <w:tc>
          <w:tcPr>
            <w:tcW w:w="328" w:type="dxa"/>
            <w:noWrap/>
            <w:vAlign w:val="center"/>
          </w:tcPr>
          <w:p w:rsidR="00DD5A7B" w:rsidRPr="00A851AC" w:rsidRDefault="00DD5A7B" w:rsidP="00E145AA">
            <w:pPr>
              <w:rPr>
                <w:rFonts w:ascii="Arial" w:hAnsi="Arial" w:cs="Arial"/>
                <w:b/>
                <w:lang w:eastAsia="ar-SA"/>
              </w:rPr>
            </w:pPr>
            <w:r w:rsidRPr="00A851AC">
              <w:rPr>
                <w:rFonts w:ascii="Arial" w:hAnsi="Arial" w:cs="Arial"/>
                <w:b/>
                <w:lang w:eastAsia="ar-SA"/>
              </w:rPr>
              <w:t>3</w:t>
            </w:r>
          </w:p>
        </w:tc>
        <w:tc>
          <w:tcPr>
            <w:tcW w:w="3996" w:type="dxa"/>
            <w:noWrap/>
            <w:vAlign w:val="center"/>
          </w:tcPr>
          <w:p w:rsidR="00DD5A7B" w:rsidRPr="00A851AC" w:rsidRDefault="00DD5A7B" w:rsidP="00E145AA">
            <w:pPr>
              <w:rPr>
                <w:rFonts w:ascii="Arial" w:hAnsi="Arial" w:cs="Arial"/>
                <w:bCs/>
                <w:sz w:val="10"/>
                <w:lang w:eastAsia="ar-SA"/>
              </w:rPr>
            </w:pPr>
            <w:r w:rsidRPr="000C2698">
              <w:rPr>
                <w:rFonts w:ascii="Arial" w:hAnsi="Arial" w:cs="Arial"/>
                <w:b/>
                <w:bCs/>
                <w:sz w:val="12"/>
                <w:szCs w:val="12"/>
                <w:lang w:eastAsia="ar-SA"/>
              </w:rPr>
              <w:t>Eğitim</w:t>
            </w:r>
            <w:r w:rsidRPr="00A851AC">
              <w:rPr>
                <w:rFonts w:ascii="Arial" w:hAnsi="Arial" w:cs="Arial"/>
                <w:bCs/>
                <w:sz w:val="10"/>
                <w:lang w:eastAsia="ar-SA"/>
              </w:rPr>
              <w:t xml:space="preserve"> </w:t>
            </w:r>
          </w:p>
          <w:p w:rsidR="00DD5A7B" w:rsidRPr="00457E40" w:rsidRDefault="00DD5A7B" w:rsidP="00DD5A7B">
            <w:pPr>
              <w:pStyle w:val="ListeParagraf"/>
              <w:numPr>
                <w:ilvl w:val="0"/>
                <w:numId w:val="2"/>
              </w:numPr>
              <w:ind w:left="132" w:hanging="132"/>
              <w:jc w:val="both"/>
              <w:rPr>
                <w:rFonts w:ascii="Arial" w:hAnsi="Arial" w:cs="Arial"/>
                <w:sz w:val="10"/>
                <w:szCs w:val="10"/>
                <w:lang w:eastAsia="ar-SA"/>
              </w:rPr>
            </w:pPr>
            <w:r w:rsidRPr="009A72D6">
              <w:rPr>
                <w:rFonts w:ascii="Arial" w:hAnsi="Arial" w:cs="Arial"/>
                <w:b/>
                <w:sz w:val="10"/>
                <w:szCs w:val="10"/>
                <w:lang w:eastAsia="ar-SA"/>
              </w:rPr>
              <w:t>Farkındalık Eğitimi</w:t>
            </w:r>
            <w:r w:rsidRPr="00457E40">
              <w:rPr>
                <w:rFonts w:ascii="Arial" w:hAnsi="Arial" w:cs="Arial"/>
                <w:sz w:val="10"/>
                <w:szCs w:val="10"/>
                <w:lang w:eastAsia="ar-SA"/>
              </w:rPr>
              <w:t>: Tüm çalışanlara bilgi güvenliğinin önemi ve ISO 27001 standartları hakkında temel bilgiler verilir. Eğitim, organizasyonda ortak bir güvenlik bilinci oluşturmayı amaçlar.</w:t>
            </w:r>
            <w:r>
              <w:rPr>
                <w:rFonts w:ascii="Arial" w:hAnsi="Arial" w:cs="Arial"/>
                <w:sz w:val="10"/>
                <w:szCs w:val="10"/>
                <w:lang w:eastAsia="ar-SA"/>
              </w:rPr>
              <w:t xml:space="preserve"> (</w:t>
            </w:r>
            <w:proofErr w:type="spellStart"/>
            <w:r>
              <w:rPr>
                <w:rFonts w:ascii="Arial" w:hAnsi="Arial" w:cs="Arial"/>
                <w:sz w:val="10"/>
                <w:szCs w:val="10"/>
                <w:lang w:eastAsia="ar-SA"/>
              </w:rPr>
              <w:t>Egitim_Plani</w:t>
            </w:r>
            <w:proofErr w:type="spellEnd"/>
            <w:r>
              <w:rPr>
                <w:rFonts w:ascii="Arial" w:hAnsi="Arial" w:cs="Arial"/>
                <w:sz w:val="10"/>
                <w:szCs w:val="10"/>
                <w:lang w:eastAsia="ar-SA"/>
              </w:rPr>
              <w:t>)</w:t>
            </w:r>
          </w:p>
          <w:p w:rsidR="00DD5A7B" w:rsidRPr="00457E40" w:rsidRDefault="00DD5A7B" w:rsidP="00DD5A7B">
            <w:pPr>
              <w:pStyle w:val="ListeParagraf"/>
              <w:numPr>
                <w:ilvl w:val="0"/>
                <w:numId w:val="2"/>
              </w:numPr>
              <w:ind w:left="132" w:hanging="132"/>
              <w:jc w:val="both"/>
              <w:rPr>
                <w:rFonts w:ascii="Arial" w:hAnsi="Arial" w:cs="Arial"/>
                <w:sz w:val="10"/>
                <w:szCs w:val="10"/>
                <w:lang w:eastAsia="ar-SA"/>
              </w:rPr>
            </w:pPr>
            <w:r w:rsidRPr="009A72D6">
              <w:rPr>
                <w:rFonts w:ascii="Arial" w:hAnsi="Arial" w:cs="Arial"/>
                <w:b/>
                <w:sz w:val="10"/>
                <w:szCs w:val="10"/>
                <w:lang w:eastAsia="ar-SA"/>
              </w:rPr>
              <w:t>ISO 27001 Standart Eğitimi</w:t>
            </w:r>
            <w:r w:rsidRPr="00457E40">
              <w:rPr>
                <w:rFonts w:ascii="Arial" w:hAnsi="Arial" w:cs="Arial"/>
                <w:sz w:val="10"/>
                <w:szCs w:val="10"/>
                <w:lang w:eastAsia="ar-SA"/>
              </w:rPr>
              <w:t>: Teknik ekip ve yöneticilere, standardın gereklilikleri ve uygulamaları hakkında detaylı bilgi sunulur. Eğitim, teorik bilgiler ile pratik uygulamaları birleştirir.</w:t>
            </w:r>
          </w:p>
          <w:p w:rsidR="00DD5A7B" w:rsidRPr="00A851AC" w:rsidRDefault="00DD5A7B" w:rsidP="00DD5A7B">
            <w:pPr>
              <w:pStyle w:val="ListeParagraf"/>
              <w:numPr>
                <w:ilvl w:val="0"/>
                <w:numId w:val="2"/>
              </w:numPr>
              <w:ind w:left="132" w:hanging="132"/>
              <w:jc w:val="both"/>
              <w:rPr>
                <w:rFonts w:ascii="Arial" w:hAnsi="Arial" w:cs="Arial"/>
                <w:bCs/>
                <w:sz w:val="12"/>
                <w:lang w:eastAsia="ar-SA"/>
              </w:rPr>
            </w:pPr>
            <w:r w:rsidRPr="009A72D6">
              <w:rPr>
                <w:rFonts w:ascii="Arial" w:hAnsi="Arial" w:cs="Arial"/>
                <w:b/>
                <w:sz w:val="10"/>
                <w:szCs w:val="10"/>
                <w:lang w:eastAsia="ar-SA"/>
              </w:rPr>
              <w:t>ISO 27001 İç Denetçi Eğitimi</w:t>
            </w:r>
            <w:r w:rsidRPr="00457E40">
              <w:rPr>
                <w:rFonts w:ascii="Arial" w:hAnsi="Arial" w:cs="Arial"/>
                <w:sz w:val="10"/>
                <w:szCs w:val="10"/>
                <w:lang w:eastAsia="ar-SA"/>
              </w:rPr>
              <w:t xml:space="preserve">: Denetim süreçlerini yönetecek ekipler, iç denetim </w:t>
            </w:r>
            <w:proofErr w:type="gramStart"/>
            <w:r w:rsidRPr="00457E40">
              <w:rPr>
                <w:rFonts w:ascii="Arial" w:hAnsi="Arial" w:cs="Arial"/>
                <w:sz w:val="10"/>
                <w:szCs w:val="10"/>
                <w:lang w:eastAsia="ar-SA"/>
              </w:rPr>
              <w:t>prosedürlerini</w:t>
            </w:r>
            <w:proofErr w:type="gramEnd"/>
            <w:r w:rsidRPr="00457E40">
              <w:rPr>
                <w:rFonts w:ascii="Arial" w:hAnsi="Arial" w:cs="Arial"/>
                <w:sz w:val="10"/>
                <w:szCs w:val="10"/>
                <w:lang w:eastAsia="ar-SA"/>
              </w:rPr>
              <w:t xml:space="preserve"> ve kontrol mekanizmalarını öğrenir. Bu eğitim, belgelendirme sürecinde iç denetimlerin etkinliğini artırır.</w:t>
            </w:r>
          </w:p>
        </w:tc>
        <w:tc>
          <w:tcPr>
            <w:tcW w:w="390" w:type="dxa"/>
            <w:noWrap/>
            <w:vAlign w:val="center"/>
          </w:tcPr>
          <w:p w:rsidR="00DD5A7B" w:rsidRPr="00A851AC" w:rsidRDefault="00DD5A7B" w:rsidP="00E145AA">
            <w:pPr>
              <w:jc w:val="center"/>
              <w:rPr>
                <w:rFonts w:ascii="Arial" w:hAnsi="Arial" w:cs="Arial"/>
                <w:lang w:eastAsia="ar-SA"/>
              </w:rPr>
            </w:pPr>
          </w:p>
        </w:tc>
        <w:tc>
          <w:tcPr>
            <w:tcW w:w="391" w:type="dxa"/>
            <w:shd w:val="clear" w:color="auto" w:fill="0D0D0D" w:themeFill="text1" w:themeFillTint="F2"/>
            <w:noWrap/>
            <w:vAlign w:val="center"/>
          </w:tcPr>
          <w:p w:rsidR="00DD5A7B" w:rsidRPr="00A851AC" w:rsidRDefault="00DD5A7B" w:rsidP="00E145AA">
            <w:pPr>
              <w:jc w:val="center"/>
              <w:rPr>
                <w:rFonts w:ascii="Arial" w:hAnsi="Arial" w:cs="Arial"/>
                <w:color w:val="000000" w:themeColor="text1"/>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377"/>
        </w:trPr>
        <w:tc>
          <w:tcPr>
            <w:tcW w:w="328" w:type="dxa"/>
            <w:noWrap/>
            <w:vAlign w:val="center"/>
          </w:tcPr>
          <w:p w:rsidR="00DD5A7B" w:rsidRPr="00A851AC" w:rsidRDefault="00DD5A7B" w:rsidP="00E145AA">
            <w:pPr>
              <w:rPr>
                <w:rFonts w:ascii="Arial" w:hAnsi="Arial" w:cs="Arial"/>
                <w:lang w:eastAsia="ar-SA"/>
              </w:rPr>
            </w:pPr>
            <w:r w:rsidRPr="00A851AC">
              <w:rPr>
                <w:rFonts w:ascii="Arial" w:hAnsi="Arial" w:cs="Arial"/>
                <w:lang w:eastAsia="ar-SA"/>
              </w:rPr>
              <w:t>4</w:t>
            </w:r>
          </w:p>
        </w:tc>
        <w:tc>
          <w:tcPr>
            <w:tcW w:w="3996" w:type="dxa"/>
            <w:noWrap/>
            <w:vAlign w:val="center"/>
          </w:tcPr>
          <w:p w:rsidR="00DD5A7B" w:rsidRPr="00A851AC" w:rsidRDefault="00DD5A7B" w:rsidP="00E145AA">
            <w:pPr>
              <w:rPr>
                <w:rFonts w:ascii="Arial" w:hAnsi="Arial" w:cs="Arial"/>
                <w:b/>
                <w:bCs/>
                <w:sz w:val="18"/>
                <w:lang w:eastAsia="ar-SA"/>
              </w:rPr>
            </w:pPr>
            <w:r w:rsidRPr="00A851AC">
              <w:rPr>
                <w:rFonts w:ascii="Arial" w:hAnsi="Arial" w:cs="Arial"/>
                <w:b/>
                <w:bCs/>
                <w:sz w:val="18"/>
                <w:lang w:eastAsia="ar-SA"/>
              </w:rPr>
              <w:t>Risk Yönetimi</w:t>
            </w:r>
          </w:p>
          <w:p w:rsidR="00DD5A7B" w:rsidRPr="00C350EF" w:rsidRDefault="00DD5A7B" w:rsidP="00DD5A7B">
            <w:pPr>
              <w:pStyle w:val="ListeParagraf"/>
              <w:numPr>
                <w:ilvl w:val="0"/>
                <w:numId w:val="2"/>
              </w:numPr>
              <w:ind w:left="132" w:hanging="132"/>
              <w:jc w:val="both"/>
              <w:rPr>
                <w:rFonts w:ascii="Arial" w:hAnsi="Arial" w:cs="Arial"/>
                <w:b/>
                <w:sz w:val="10"/>
                <w:szCs w:val="10"/>
                <w:lang w:eastAsia="ar-SA"/>
              </w:rPr>
            </w:pPr>
            <w:r w:rsidRPr="00C350EF">
              <w:rPr>
                <w:rFonts w:ascii="Arial" w:hAnsi="Arial" w:cs="Arial"/>
                <w:b/>
                <w:sz w:val="10"/>
                <w:szCs w:val="10"/>
                <w:lang w:eastAsia="ar-SA"/>
              </w:rPr>
              <w:t xml:space="preserve">Varlık Envanterinin Hazırlanması: </w:t>
            </w:r>
            <w:r w:rsidRPr="00EA2BD4">
              <w:rPr>
                <w:rFonts w:ascii="Arial" w:hAnsi="Arial" w:cs="Arial"/>
                <w:sz w:val="10"/>
                <w:szCs w:val="10"/>
                <w:lang w:eastAsia="ar-SA"/>
              </w:rPr>
              <w:t>Organizasyonun bilgi varlıkları, sistematik bir şekilde tanımlanır ve sınıflandırılır. Bu liste, risk analizinin temelini oluşturur.</w:t>
            </w:r>
            <w:r>
              <w:rPr>
                <w:rFonts w:ascii="Arial" w:hAnsi="Arial" w:cs="Arial"/>
                <w:sz w:val="10"/>
                <w:szCs w:val="10"/>
                <w:lang w:eastAsia="ar-SA"/>
              </w:rPr>
              <w:t xml:space="preserve"> (Varlık Envanteri)</w:t>
            </w:r>
          </w:p>
          <w:p w:rsidR="00DD5A7B" w:rsidRPr="00C350EF" w:rsidRDefault="00DD5A7B" w:rsidP="00DD5A7B">
            <w:pPr>
              <w:pStyle w:val="ListeParagraf"/>
              <w:numPr>
                <w:ilvl w:val="0"/>
                <w:numId w:val="2"/>
              </w:numPr>
              <w:ind w:left="132" w:hanging="132"/>
              <w:jc w:val="both"/>
              <w:rPr>
                <w:rFonts w:ascii="Arial" w:hAnsi="Arial" w:cs="Arial"/>
                <w:b/>
                <w:sz w:val="10"/>
                <w:szCs w:val="10"/>
                <w:lang w:eastAsia="ar-SA"/>
              </w:rPr>
            </w:pPr>
            <w:r w:rsidRPr="00C350EF">
              <w:rPr>
                <w:rFonts w:ascii="Arial" w:hAnsi="Arial" w:cs="Arial"/>
                <w:b/>
                <w:sz w:val="10"/>
                <w:szCs w:val="10"/>
                <w:lang w:eastAsia="ar-SA"/>
              </w:rPr>
              <w:t xml:space="preserve">Risk Envanterinin Hazırlanması: </w:t>
            </w:r>
            <w:r w:rsidRPr="00EA2BD4">
              <w:rPr>
                <w:rFonts w:ascii="Arial" w:hAnsi="Arial" w:cs="Arial"/>
                <w:sz w:val="10"/>
                <w:szCs w:val="10"/>
                <w:lang w:eastAsia="ar-SA"/>
              </w:rPr>
              <w:t>Her varlık için olası tehditler ve zayıflıklar belirlenir. Tehditlerin olasılık ve etkileri değerlendirilerek riskler sıralanır.</w:t>
            </w:r>
          </w:p>
          <w:p w:rsidR="00DD5A7B" w:rsidRPr="00A851AC" w:rsidRDefault="00DD5A7B" w:rsidP="00DD5A7B">
            <w:pPr>
              <w:pStyle w:val="ListeParagraf"/>
              <w:numPr>
                <w:ilvl w:val="0"/>
                <w:numId w:val="2"/>
              </w:numPr>
              <w:ind w:left="132" w:hanging="132"/>
              <w:jc w:val="both"/>
              <w:rPr>
                <w:rFonts w:ascii="Arial" w:hAnsi="Arial" w:cs="Arial"/>
                <w:sz w:val="10"/>
                <w:szCs w:val="10"/>
                <w:lang w:eastAsia="ar-SA"/>
              </w:rPr>
            </w:pPr>
            <w:r w:rsidRPr="00C350EF">
              <w:rPr>
                <w:rFonts w:ascii="Arial" w:hAnsi="Arial" w:cs="Arial"/>
                <w:b/>
                <w:sz w:val="10"/>
                <w:szCs w:val="10"/>
                <w:lang w:eastAsia="ar-SA"/>
              </w:rPr>
              <w:t xml:space="preserve">Risk Analizi: </w:t>
            </w:r>
            <w:r w:rsidRPr="00EA2BD4">
              <w:rPr>
                <w:rFonts w:ascii="Arial" w:hAnsi="Arial" w:cs="Arial"/>
                <w:sz w:val="10"/>
                <w:szCs w:val="10"/>
                <w:lang w:eastAsia="ar-SA"/>
              </w:rPr>
              <w:t xml:space="preserve">Belirlenen riskler, "Olasılık × Etki" formülüyle </w:t>
            </w:r>
            <w:proofErr w:type="spellStart"/>
            <w:r w:rsidRPr="00EA2BD4">
              <w:rPr>
                <w:rFonts w:ascii="Arial" w:hAnsi="Arial" w:cs="Arial"/>
                <w:sz w:val="10"/>
                <w:szCs w:val="10"/>
                <w:lang w:eastAsia="ar-SA"/>
              </w:rPr>
              <w:t>önceliklendirilir</w:t>
            </w:r>
            <w:proofErr w:type="spellEnd"/>
            <w:r w:rsidRPr="00EA2BD4">
              <w:rPr>
                <w:rFonts w:ascii="Arial" w:hAnsi="Arial" w:cs="Arial"/>
                <w:sz w:val="10"/>
                <w:szCs w:val="10"/>
                <w:lang w:eastAsia="ar-SA"/>
              </w:rPr>
              <w:t>. Kritik riskler için azaltıcı veya önleyici kontroller geliştirilir.</w:t>
            </w:r>
            <w:r>
              <w:rPr>
                <w:rFonts w:ascii="Arial" w:hAnsi="Arial" w:cs="Arial"/>
                <w:sz w:val="10"/>
                <w:szCs w:val="10"/>
                <w:lang w:eastAsia="ar-SA"/>
              </w:rPr>
              <w:t xml:space="preserve"> (Risk Yönetimi)</w:t>
            </w:r>
          </w:p>
        </w:tc>
        <w:tc>
          <w:tcPr>
            <w:tcW w:w="390" w:type="dxa"/>
            <w:noWrap/>
            <w:vAlign w:val="center"/>
          </w:tcPr>
          <w:p w:rsidR="00DD5A7B" w:rsidRPr="00A851AC" w:rsidRDefault="00DD5A7B" w:rsidP="00E145AA">
            <w:pPr>
              <w:jc w:val="center"/>
              <w:rPr>
                <w:rFonts w:ascii="Arial" w:hAnsi="Arial" w:cs="Arial"/>
                <w:lang w:eastAsia="ar-SA"/>
              </w:rPr>
            </w:pPr>
          </w:p>
        </w:tc>
        <w:tc>
          <w:tcPr>
            <w:tcW w:w="391" w:type="dxa"/>
            <w:shd w:val="clear" w:color="auto" w:fill="0D0D0D" w:themeFill="text1" w:themeFillTint="F2"/>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377"/>
        </w:trPr>
        <w:tc>
          <w:tcPr>
            <w:tcW w:w="328" w:type="dxa"/>
            <w:noWrap/>
            <w:vAlign w:val="center"/>
          </w:tcPr>
          <w:p w:rsidR="00DD5A7B" w:rsidRPr="00A851AC" w:rsidRDefault="00DD5A7B" w:rsidP="00E145AA">
            <w:pPr>
              <w:rPr>
                <w:rFonts w:ascii="Arial" w:hAnsi="Arial" w:cs="Arial"/>
                <w:b/>
                <w:lang w:eastAsia="ar-SA"/>
              </w:rPr>
            </w:pPr>
            <w:r w:rsidRPr="00A851AC">
              <w:rPr>
                <w:rFonts w:ascii="Arial" w:hAnsi="Arial" w:cs="Arial"/>
                <w:b/>
                <w:lang w:eastAsia="ar-SA"/>
              </w:rPr>
              <w:t>5</w:t>
            </w:r>
          </w:p>
        </w:tc>
        <w:tc>
          <w:tcPr>
            <w:tcW w:w="3996" w:type="dxa"/>
            <w:noWrap/>
            <w:vAlign w:val="center"/>
          </w:tcPr>
          <w:p w:rsidR="00DD5A7B" w:rsidRPr="00A851AC" w:rsidRDefault="00DD5A7B" w:rsidP="00E145AA">
            <w:pPr>
              <w:rPr>
                <w:rFonts w:ascii="Arial" w:hAnsi="Arial" w:cs="Arial"/>
                <w:b/>
                <w:bCs/>
                <w:lang w:eastAsia="ar-SA"/>
              </w:rPr>
            </w:pPr>
            <w:r w:rsidRPr="00A851AC">
              <w:rPr>
                <w:rFonts w:ascii="Arial" w:hAnsi="Arial" w:cs="Arial"/>
                <w:b/>
                <w:bCs/>
                <w:lang w:eastAsia="ar-SA"/>
              </w:rPr>
              <w:t>Dokümantasyon</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9D4F9C">
              <w:rPr>
                <w:rFonts w:ascii="Arial" w:hAnsi="Arial" w:cs="Arial"/>
                <w:b/>
                <w:sz w:val="10"/>
                <w:szCs w:val="10"/>
                <w:lang w:eastAsia="ar-SA"/>
              </w:rPr>
              <w:t>ISO 27001 El Kitabı</w:t>
            </w:r>
            <w:r w:rsidRPr="00293245">
              <w:rPr>
                <w:rFonts w:ascii="Arial" w:hAnsi="Arial" w:cs="Arial"/>
                <w:b/>
                <w:sz w:val="10"/>
                <w:szCs w:val="10"/>
                <w:lang w:eastAsia="ar-SA"/>
              </w:rPr>
              <w:t xml:space="preserve">: </w:t>
            </w:r>
            <w:r w:rsidRPr="00293245">
              <w:rPr>
                <w:rFonts w:ascii="Arial" w:hAnsi="Arial" w:cs="Arial"/>
                <w:sz w:val="10"/>
                <w:szCs w:val="10"/>
                <w:lang w:eastAsia="ar-SA"/>
              </w:rPr>
              <w:t xml:space="preserve">Organizasyonun bilgi güvenliği yönetim sistemine genel bir </w:t>
            </w:r>
            <w:r w:rsidRPr="00293245">
              <w:rPr>
                <w:rFonts w:ascii="Arial" w:hAnsi="Arial" w:cs="Arial"/>
                <w:sz w:val="10"/>
                <w:szCs w:val="10"/>
                <w:lang w:eastAsia="ar-SA"/>
              </w:rPr>
              <w:lastRenderedPageBreak/>
              <w:t>rehberlik sağlar.</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9D4F9C">
              <w:rPr>
                <w:rFonts w:ascii="Arial" w:hAnsi="Arial" w:cs="Arial"/>
                <w:b/>
                <w:sz w:val="10"/>
                <w:szCs w:val="10"/>
                <w:lang w:eastAsia="ar-SA"/>
              </w:rPr>
              <w:t>ISO 27001 BG Politikaları</w:t>
            </w:r>
            <w:r w:rsidRPr="00293245">
              <w:rPr>
                <w:rFonts w:ascii="Arial" w:hAnsi="Arial" w:cs="Arial"/>
                <w:b/>
                <w:sz w:val="10"/>
                <w:szCs w:val="10"/>
                <w:lang w:eastAsia="ar-SA"/>
              </w:rPr>
              <w:t xml:space="preserve">: </w:t>
            </w:r>
            <w:r w:rsidRPr="00293245">
              <w:rPr>
                <w:rFonts w:ascii="Arial" w:hAnsi="Arial" w:cs="Arial"/>
                <w:sz w:val="10"/>
                <w:szCs w:val="10"/>
                <w:lang w:eastAsia="ar-SA"/>
              </w:rPr>
              <w:t xml:space="preserve">Bilgi güvenliği süreçlerini destekleyen politikalar hazırlanır ve </w:t>
            </w:r>
            <w:proofErr w:type="spellStart"/>
            <w:r w:rsidRPr="00293245">
              <w:rPr>
                <w:rFonts w:ascii="Arial" w:hAnsi="Arial" w:cs="Arial"/>
                <w:sz w:val="10"/>
                <w:szCs w:val="10"/>
                <w:lang w:eastAsia="ar-SA"/>
              </w:rPr>
              <w:t>dokümante</w:t>
            </w:r>
            <w:proofErr w:type="spellEnd"/>
            <w:r w:rsidRPr="00293245">
              <w:rPr>
                <w:rFonts w:ascii="Arial" w:hAnsi="Arial" w:cs="Arial"/>
                <w:sz w:val="10"/>
                <w:szCs w:val="10"/>
                <w:lang w:eastAsia="ar-SA"/>
              </w:rPr>
              <w:t xml:space="preserve"> edilir.</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9D4F9C">
              <w:rPr>
                <w:rFonts w:ascii="Arial" w:hAnsi="Arial" w:cs="Arial"/>
                <w:b/>
                <w:sz w:val="10"/>
                <w:szCs w:val="10"/>
                <w:lang w:eastAsia="ar-SA"/>
              </w:rPr>
              <w:t>Uygulanabilirlik Bildirgesi (</w:t>
            </w:r>
            <w:proofErr w:type="spellStart"/>
            <w:r w:rsidRPr="009D4F9C">
              <w:rPr>
                <w:rFonts w:ascii="Arial" w:hAnsi="Arial" w:cs="Arial"/>
                <w:b/>
                <w:sz w:val="10"/>
                <w:szCs w:val="10"/>
                <w:lang w:eastAsia="ar-SA"/>
              </w:rPr>
              <w:t>SoA</w:t>
            </w:r>
            <w:proofErr w:type="spellEnd"/>
            <w:r w:rsidRPr="009D4F9C">
              <w:rPr>
                <w:rFonts w:ascii="Arial" w:hAnsi="Arial" w:cs="Arial"/>
                <w:b/>
                <w:sz w:val="10"/>
                <w:szCs w:val="10"/>
                <w:lang w:eastAsia="ar-SA"/>
              </w:rPr>
              <w:t>):</w:t>
            </w:r>
            <w:r w:rsidRPr="00293245">
              <w:rPr>
                <w:rFonts w:ascii="Arial" w:hAnsi="Arial" w:cs="Arial"/>
                <w:b/>
                <w:sz w:val="10"/>
                <w:szCs w:val="10"/>
                <w:lang w:eastAsia="ar-SA"/>
              </w:rPr>
              <w:t xml:space="preserve"> </w:t>
            </w:r>
            <w:r w:rsidRPr="00293245">
              <w:rPr>
                <w:rFonts w:ascii="Arial" w:hAnsi="Arial" w:cs="Arial"/>
                <w:sz w:val="10"/>
                <w:szCs w:val="10"/>
                <w:lang w:eastAsia="ar-SA"/>
              </w:rPr>
              <w:t>Uygulanan ve uygulanmayan kontroller listelenir; gerekçeleri açıklanır.</w:t>
            </w:r>
            <w:r>
              <w:rPr>
                <w:rFonts w:ascii="Arial" w:hAnsi="Arial" w:cs="Arial"/>
                <w:sz w:val="10"/>
                <w:szCs w:val="10"/>
                <w:lang w:eastAsia="ar-SA"/>
              </w:rPr>
              <w:t xml:space="preserve"> (Uygulanabilir Bildirgesi)</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9D4F9C">
              <w:rPr>
                <w:rFonts w:ascii="Arial" w:hAnsi="Arial" w:cs="Arial"/>
                <w:b/>
                <w:sz w:val="10"/>
                <w:szCs w:val="10"/>
                <w:lang w:eastAsia="ar-SA"/>
              </w:rPr>
              <w:t>İş Sürekliliği Planı</w:t>
            </w:r>
            <w:r w:rsidRPr="00293245">
              <w:rPr>
                <w:rFonts w:ascii="Arial" w:hAnsi="Arial" w:cs="Arial"/>
                <w:b/>
                <w:sz w:val="10"/>
                <w:szCs w:val="10"/>
                <w:lang w:eastAsia="ar-SA"/>
              </w:rPr>
              <w:t xml:space="preserve">: </w:t>
            </w:r>
            <w:r w:rsidRPr="00293245">
              <w:rPr>
                <w:rFonts w:ascii="Arial" w:hAnsi="Arial" w:cs="Arial"/>
                <w:sz w:val="10"/>
                <w:szCs w:val="10"/>
                <w:lang w:eastAsia="ar-SA"/>
              </w:rPr>
              <w:t>Olası bir aksaklık durumunda operasyonların devamlılığını sağlamak için planlar geliştirilir.</w:t>
            </w:r>
            <w:r>
              <w:rPr>
                <w:rFonts w:ascii="Arial" w:hAnsi="Arial" w:cs="Arial"/>
                <w:sz w:val="10"/>
                <w:szCs w:val="10"/>
                <w:lang w:eastAsia="ar-SA"/>
              </w:rPr>
              <w:t xml:space="preserve"> (İş Sürekliliği Talimatı)</w:t>
            </w:r>
          </w:p>
          <w:p w:rsidR="00DD5A7B" w:rsidRPr="00A851AC" w:rsidRDefault="00DD5A7B" w:rsidP="00DD5A7B">
            <w:pPr>
              <w:pStyle w:val="ListeParagraf"/>
              <w:numPr>
                <w:ilvl w:val="0"/>
                <w:numId w:val="2"/>
              </w:numPr>
              <w:ind w:left="132" w:hanging="132"/>
              <w:jc w:val="both"/>
              <w:rPr>
                <w:rFonts w:ascii="Arial" w:hAnsi="Arial" w:cs="Arial"/>
                <w:sz w:val="10"/>
                <w:szCs w:val="10"/>
                <w:lang w:eastAsia="ar-SA"/>
              </w:rPr>
            </w:pPr>
            <w:r w:rsidRPr="00293245">
              <w:rPr>
                <w:rFonts w:ascii="Arial" w:hAnsi="Arial" w:cs="Arial"/>
                <w:b/>
                <w:sz w:val="10"/>
                <w:szCs w:val="10"/>
                <w:lang w:eastAsia="ar-SA"/>
              </w:rPr>
              <w:t xml:space="preserve">ISO 27001 BG Prosedürleri: </w:t>
            </w:r>
            <w:r w:rsidRPr="00293245">
              <w:rPr>
                <w:rFonts w:ascii="Arial" w:hAnsi="Arial" w:cs="Arial"/>
                <w:sz w:val="10"/>
                <w:szCs w:val="10"/>
                <w:lang w:eastAsia="ar-SA"/>
              </w:rPr>
              <w:t xml:space="preserve">Sistematik süreçleri destekleyen </w:t>
            </w:r>
            <w:proofErr w:type="gramStart"/>
            <w:r w:rsidRPr="00293245">
              <w:rPr>
                <w:rFonts w:ascii="Arial" w:hAnsi="Arial" w:cs="Arial"/>
                <w:sz w:val="10"/>
                <w:szCs w:val="10"/>
                <w:lang w:eastAsia="ar-SA"/>
              </w:rPr>
              <w:t>prosedürler</w:t>
            </w:r>
            <w:proofErr w:type="gramEnd"/>
            <w:r w:rsidRPr="00293245">
              <w:rPr>
                <w:rFonts w:ascii="Arial" w:hAnsi="Arial" w:cs="Arial"/>
                <w:sz w:val="10"/>
                <w:szCs w:val="10"/>
                <w:lang w:eastAsia="ar-SA"/>
              </w:rPr>
              <w:t xml:space="preserve"> yazılır.</w:t>
            </w: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shd w:val="clear" w:color="auto" w:fill="0D0D0D" w:themeFill="text1" w:themeFillTint="F2"/>
            <w:noWrap/>
            <w:vAlign w:val="center"/>
          </w:tcPr>
          <w:p w:rsidR="00DD5A7B" w:rsidRPr="00A851AC" w:rsidRDefault="00DD5A7B" w:rsidP="00E145AA">
            <w:pPr>
              <w:jc w:val="center"/>
              <w:rPr>
                <w:rFonts w:ascii="Arial" w:hAnsi="Arial" w:cs="Arial"/>
                <w:color w:val="000000" w:themeColor="text1"/>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1"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390"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377"/>
        </w:trPr>
        <w:tc>
          <w:tcPr>
            <w:tcW w:w="328" w:type="dxa"/>
            <w:noWrap/>
            <w:vAlign w:val="center"/>
          </w:tcPr>
          <w:p w:rsidR="00DD5A7B" w:rsidRPr="00A851AC" w:rsidRDefault="00DD5A7B" w:rsidP="00E145AA">
            <w:pPr>
              <w:rPr>
                <w:rFonts w:ascii="Arial" w:hAnsi="Arial" w:cs="Arial"/>
                <w:lang w:eastAsia="ar-SA"/>
              </w:rPr>
            </w:pPr>
            <w:r w:rsidRPr="00A851AC">
              <w:rPr>
                <w:rFonts w:ascii="Arial" w:hAnsi="Arial" w:cs="Arial"/>
                <w:lang w:eastAsia="ar-SA"/>
              </w:rPr>
              <w:lastRenderedPageBreak/>
              <w:t>6</w:t>
            </w:r>
          </w:p>
        </w:tc>
        <w:tc>
          <w:tcPr>
            <w:tcW w:w="3996" w:type="dxa"/>
            <w:noWrap/>
            <w:vAlign w:val="center"/>
          </w:tcPr>
          <w:p w:rsidR="00DD5A7B" w:rsidRPr="00A851AC" w:rsidRDefault="00DD5A7B" w:rsidP="00E145AA">
            <w:pPr>
              <w:rPr>
                <w:rFonts w:ascii="Arial" w:hAnsi="Arial" w:cs="Arial"/>
                <w:b/>
                <w:bCs/>
                <w:lang w:eastAsia="ar-SA"/>
              </w:rPr>
            </w:pPr>
            <w:r w:rsidRPr="00A851AC">
              <w:rPr>
                <w:rFonts w:ascii="Arial" w:hAnsi="Arial" w:cs="Arial"/>
                <w:b/>
                <w:bCs/>
                <w:lang w:eastAsia="ar-SA"/>
              </w:rPr>
              <w:t>Kontrol</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102F41">
              <w:rPr>
                <w:rFonts w:ascii="Arial" w:hAnsi="Arial" w:cs="Arial"/>
                <w:b/>
                <w:sz w:val="10"/>
                <w:szCs w:val="10"/>
                <w:lang w:eastAsia="ar-SA"/>
              </w:rPr>
              <w:t>İç Denetim</w:t>
            </w:r>
            <w:r w:rsidRPr="00293245">
              <w:rPr>
                <w:rFonts w:ascii="Arial" w:hAnsi="Arial" w:cs="Arial"/>
                <w:b/>
                <w:sz w:val="10"/>
                <w:szCs w:val="10"/>
                <w:lang w:eastAsia="ar-SA"/>
              </w:rPr>
              <w:t xml:space="preserve">: </w:t>
            </w:r>
            <w:r w:rsidRPr="00293245">
              <w:rPr>
                <w:rFonts w:ascii="Arial" w:hAnsi="Arial" w:cs="Arial"/>
                <w:sz w:val="10"/>
                <w:szCs w:val="10"/>
                <w:lang w:eastAsia="ar-SA"/>
              </w:rPr>
              <w:t>Sistem, ISO 27001 standartlarına uygunluk açısından değerlendirilir. Bu denetimler, eksikliklerin tespit edilmesine yardımcı olur.</w:t>
            </w:r>
            <w:r>
              <w:rPr>
                <w:rFonts w:ascii="Arial" w:hAnsi="Arial" w:cs="Arial"/>
                <w:sz w:val="10"/>
                <w:szCs w:val="10"/>
                <w:lang w:eastAsia="ar-SA"/>
              </w:rPr>
              <w:t xml:space="preserve"> </w:t>
            </w:r>
          </w:p>
          <w:p w:rsidR="00DD5A7B" w:rsidRPr="00293245" w:rsidRDefault="00DD5A7B" w:rsidP="00DD5A7B">
            <w:pPr>
              <w:pStyle w:val="ListeParagraf"/>
              <w:numPr>
                <w:ilvl w:val="0"/>
                <w:numId w:val="2"/>
              </w:numPr>
              <w:ind w:left="132" w:hanging="132"/>
              <w:jc w:val="both"/>
              <w:rPr>
                <w:rFonts w:ascii="Arial" w:hAnsi="Arial" w:cs="Arial"/>
                <w:b/>
                <w:sz w:val="10"/>
                <w:szCs w:val="10"/>
                <w:lang w:eastAsia="ar-SA"/>
              </w:rPr>
            </w:pPr>
            <w:r w:rsidRPr="00102F41">
              <w:rPr>
                <w:rFonts w:ascii="Arial" w:hAnsi="Arial" w:cs="Arial"/>
                <w:b/>
                <w:sz w:val="10"/>
                <w:szCs w:val="10"/>
                <w:lang w:eastAsia="ar-SA"/>
              </w:rPr>
              <w:t>Düzeltici Faaliyetler</w:t>
            </w:r>
            <w:r w:rsidRPr="00293245">
              <w:rPr>
                <w:rFonts w:ascii="Arial" w:hAnsi="Arial" w:cs="Arial"/>
                <w:b/>
                <w:sz w:val="10"/>
                <w:szCs w:val="10"/>
                <w:lang w:eastAsia="ar-SA"/>
              </w:rPr>
              <w:t xml:space="preserve">: </w:t>
            </w:r>
            <w:r w:rsidRPr="00293245">
              <w:rPr>
                <w:rFonts w:ascii="Arial" w:hAnsi="Arial" w:cs="Arial"/>
                <w:sz w:val="10"/>
                <w:szCs w:val="10"/>
                <w:lang w:eastAsia="ar-SA"/>
              </w:rPr>
              <w:t>İç denetimlerde tespit edilen uygunsuzluklar giderilir. Bu faaliyetler, sistemin performansını artırır.</w:t>
            </w:r>
            <w:r>
              <w:rPr>
                <w:rFonts w:ascii="Arial" w:hAnsi="Arial" w:cs="Arial"/>
                <w:sz w:val="10"/>
                <w:szCs w:val="10"/>
                <w:lang w:eastAsia="ar-SA"/>
              </w:rPr>
              <w:t xml:space="preserve"> </w:t>
            </w:r>
            <w:proofErr w:type="gramStart"/>
            <w:r>
              <w:rPr>
                <w:rFonts w:ascii="Arial" w:hAnsi="Arial" w:cs="Arial"/>
                <w:sz w:val="10"/>
                <w:szCs w:val="10"/>
                <w:lang w:eastAsia="ar-SA"/>
              </w:rPr>
              <w:t>(</w:t>
            </w:r>
            <w:proofErr w:type="gramEnd"/>
          </w:p>
          <w:p w:rsidR="00DD5A7B" w:rsidRPr="00A851AC" w:rsidRDefault="00DD5A7B" w:rsidP="00DD5A7B">
            <w:pPr>
              <w:pStyle w:val="ListeParagraf"/>
              <w:numPr>
                <w:ilvl w:val="0"/>
                <w:numId w:val="2"/>
              </w:numPr>
              <w:ind w:left="132" w:hanging="132"/>
              <w:jc w:val="both"/>
              <w:rPr>
                <w:rFonts w:ascii="Arial" w:hAnsi="Arial" w:cs="Arial"/>
                <w:sz w:val="10"/>
                <w:szCs w:val="10"/>
                <w:lang w:eastAsia="ar-SA"/>
              </w:rPr>
            </w:pPr>
            <w:r w:rsidRPr="00102F41">
              <w:rPr>
                <w:rFonts w:ascii="Arial" w:hAnsi="Arial" w:cs="Arial"/>
                <w:b/>
                <w:sz w:val="10"/>
                <w:szCs w:val="10"/>
                <w:lang w:eastAsia="ar-SA"/>
              </w:rPr>
              <w:t>Yönetimi Gözden Geçirme</w:t>
            </w:r>
            <w:r w:rsidRPr="00293245">
              <w:rPr>
                <w:rFonts w:ascii="Arial" w:hAnsi="Arial" w:cs="Arial"/>
                <w:b/>
                <w:sz w:val="10"/>
                <w:szCs w:val="10"/>
                <w:lang w:eastAsia="ar-SA"/>
              </w:rPr>
              <w:t xml:space="preserve">: </w:t>
            </w:r>
            <w:r w:rsidRPr="00293245">
              <w:rPr>
                <w:rFonts w:ascii="Arial" w:hAnsi="Arial" w:cs="Arial"/>
                <w:sz w:val="10"/>
                <w:szCs w:val="10"/>
                <w:lang w:eastAsia="ar-SA"/>
              </w:rPr>
              <w:t>Üst yönetim, sistemin genel performansını değerlendirir ve stratejik iyileştirme kararları alır.</w:t>
            </w: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439" w:type="dxa"/>
            <w:shd w:val="clear" w:color="auto" w:fill="000000" w:themeFill="text1"/>
            <w:noWrap/>
            <w:vAlign w:val="center"/>
          </w:tcPr>
          <w:p w:rsidR="00DD5A7B" w:rsidRPr="00A851AC" w:rsidRDefault="00DD5A7B" w:rsidP="00E145AA">
            <w:pPr>
              <w:jc w:val="center"/>
              <w:rPr>
                <w:rFonts w:ascii="Arial" w:hAnsi="Arial" w:cs="Arial"/>
                <w:color w:val="000000" w:themeColor="text1"/>
                <w:lang w:eastAsia="ar-SA"/>
              </w:rPr>
            </w:pPr>
          </w:p>
        </w:tc>
        <w:tc>
          <w:tcPr>
            <w:tcW w:w="439" w:type="dxa"/>
            <w:shd w:val="clear" w:color="auto" w:fill="000000" w:themeFill="text1"/>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r>
      <w:tr w:rsidR="00DD5A7B" w:rsidRPr="00A851AC" w:rsidTr="00E145AA">
        <w:trPr>
          <w:trHeight w:val="377"/>
        </w:trPr>
        <w:tc>
          <w:tcPr>
            <w:tcW w:w="328" w:type="dxa"/>
            <w:noWrap/>
            <w:vAlign w:val="center"/>
          </w:tcPr>
          <w:p w:rsidR="00DD5A7B" w:rsidRPr="00A851AC" w:rsidRDefault="00DD5A7B" w:rsidP="00E145AA">
            <w:pPr>
              <w:rPr>
                <w:rFonts w:ascii="Arial" w:hAnsi="Arial" w:cs="Arial"/>
                <w:lang w:eastAsia="ar-SA"/>
              </w:rPr>
            </w:pPr>
            <w:r w:rsidRPr="00A851AC">
              <w:rPr>
                <w:rFonts w:ascii="Arial" w:hAnsi="Arial" w:cs="Arial"/>
                <w:lang w:eastAsia="ar-SA"/>
              </w:rPr>
              <w:t>7</w:t>
            </w:r>
          </w:p>
        </w:tc>
        <w:tc>
          <w:tcPr>
            <w:tcW w:w="3996" w:type="dxa"/>
            <w:noWrap/>
            <w:vAlign w:val="center"/>
          </w:tcPr>
          <w:p w:rsidR="00DD5A7B" w:rsidRPr="00A851AC" w:rsidRDefault="00DD5A7B" w:rsidP="00E145AA">
            <w:pPr>
              <w:rPr>
                <w:rFonts w:ascii="Arial" w:hAnsi="Arial" w:cs="Arial"/>
                <w:b/>
                <w:bCs/>
                <w:lang w:eastAsia="ar-SA"/>
              </w:rPr>
            </w:pPr>
            <w:r w:rsidRPr="00A851AC">
              <w:rPr>
                <w:rFonts w:ascii="Arial" w:hAnsi="Arial" w:cs="Arial"/>
                <w:b/>
                <w:bCs/>
                <w:lang w:eastAsia="ar-SA"/>
              </w:rPr>
              <w:t>Belgelendirme</w:t>
            </w:r>
          </w:p>
          <w:p w:rsidR="00DD5A7B" w:rsidRPr="00293245" w:rsidRDefault="00DD5A7B" w:rsidP="00DD5A7B">
            <w:pPr>
              <w:pStyle w:val="ListeParagraf"/>
              <w:numPr>
                <w:ilvl w:val="0"/>
                <w:numId w:val="2"/>
              </w:numPr>
              <w:ind w:left="132" w:hanging="132"/>
              <w:jc w:val="both"/>
              <w:rPr>
                <w:rFonts w:ascii="Arial" w:hAnsi="Arial" w:cs="Arial"/>
                <w:sz w:val="10"/>
                <w:szCs w:val="10"/>
                <w:lang w:eastAsia="ar-SA"/>
              </w:rPr>
            </w:pPr>
            <w:r w:rsidRPr="00F947E7">
              <w:rPr>
                <w:rFonts w:ascii="Arial" w:hAnsi="Arial" w:cs="Arial"/>
                <w:b/>
                <w:sz w:val="10"/>
                <w:szCs w:val="10"/>
                <w:lang w:eastAsia="ar-SA"/>
              </w:rPr>
              <w:t>1. Aşama Denetim</w:t>
            </w:r>
            <w:r w:rsidRPr="00293245">
              <w:rPr>
                <w:rFonts w:ascii="Arial" w:hAnsi="Arial" w:cs="Arial"/>
                <w:b/>
                <w:sz w:val="10"/>
                <w:szCs w:val="10"/>
                <w:lang w:eastAsia="ar-SA"/>
              </w:rPr>
              <w:t xml:space="preserve">: </w:t>
            </w:r>
            <w:r w:rsidRPr="00293245">
              <w:rPr>
                <w:rFonts w:ascii="Arial" w:hAnsi="Arial" w:cs="Arial"/>
                <w:sz w:val="10"/>
                <w:szCs w:val="10"/>
                <w:lang w:eastAsia="ar-SA"/>
              </w:rPr>
              <w:t>Dokümantasyon ve temel süreçler denetlenir. Sistem, ISO 27001 gerekliliklerine uygunluk açısından değerlendirilir.</w:t>
            </w:r>
          </w:p>
          <w:p w:rsidR="00DD5A7B" w:rsidRPr="00A851AC" w:rsidRDefault="00DD5A7B" w:rsidP="00DD5A7B">
            <w:pPr>
              <w:pStyle w:val="ListeParagraf"/>
              <w:numPr>
                <w:ilvl w:val="0"/>
                <w:numId w:val="2"/>
              </w:numPr>
              <w:ind w:left="132" w:hanging="132"/>
              <w:jc w:val="both"/>
              <w:rPr>
                <w:rFonts w:ascii="Arial" w:hAnsi="Arial" w:cs="Arial"/>
                <w:lang w:eastAsia="ar-SA"/>
              </w:rPr>
            </w:pPr>
            <w:r w:rsidRPr="00F947E7">
              <w:rPr>
                <w:rFonts w:ascii="Arial" w:hAnsi="Arial" w:cs="Arial"/>
                <w:b/>
                <w:sz w:val="10"/>
                <w:szCs w:val="10"/>
                <w:lang w:eastAsia="ar-SA"/>
              </w:rPr>
              <w:t>2. Aşama Denetimi</w:t>
            </w:r>
            <w:r w:rsidRPr="00293245">
              <w:rPr>
                <w:rFonts w:ascii="Arial" w:hAnsi="Arial" w:cs="Arial"/>
                <w:b/>
                <w:sz w:val="10"/>
                <w:szCs w:val="10"/>
                <w:lang w:eastAsia="ar-SA"/>
              </w:rPr>
              <w:t xml:space="preserve">: </w:t>
            </w:r>
            <w:r w:rsidRPr="00293245">
              <w:rPr>
                <w:rFonts w:ascii="Arial" w:hAnsi="Arial" w:cs="Arial"/>
                <w:sz w:val="10"/>
                <w:szCs w:val="10"/>
                <w:lang w:eastAsia="ar-SA"/>
              </w:rPr>
              <w:t>Uygulama süreçleri, kontrollerin etkinliği ve çalışan farkındalığı denetlenir. Yerinde yapılan bu denetimler, belgelendirme sürecinin en kritik adımıdır.</w:t>
            </w: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1"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390"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noWrap/>
            <w:vAlign w:val="center"/>
          </w:tcPr>
          <w:p w:rsidR="00DD5A7B" w:rsidRPr="00A851AC" w:rsidRDefault="00DD5A7B" w:rsidP="00E145AA">
            <w:pPr>
              <w:jc w:val="center"/>
              <w:rPr>
                <w:rFonts w:ascii="Arial" w:hAnsi="Arial" w:cs="Arial"/>
                <w:lang w:eastAsia="ar-SA"/>
              </w:rPr>
            </w:pPr>
          </w:p>
        </w:tc>
        <w:tc>
          <w:tcPr>
            <w:tcW w:w="439" w:type="dxa"/>
            <w:shd w:val="clear" w:color="auto" w:fill="0D0D0D" w:themeFill="text1" w:themeFillTint="F2"/>
            <w:noWrap/>
            <w:vAlign w:val="center"/>
          </w:tcPr>
          <w:p w:rsidR="00DD5A7B" w:rsidRPr="00A851AC" w:rsidRDefault="00DD5A7B" w:rsidP="00E145AA">
            <w:pPr>
              <w:jc w:val="center"/>
              <w:rPr>
                <w:rFonts w:ascii="Arial" w:hAnsi="Arial" w:cs="Arial"/>
                <w:color w:val="000000" w:themeColor="text1"/>
                <w:lang w:eastAsia="ar-SA"/>
              </w:rPr>
            </w:pPr>
          </w:p>
        </w:tc>
      </w:tr>
    </w:tbl>
    <w:p w:rsidR="00071773" w:rsidRPr="00D43316" w:rsidRDefault="00071773" w:rsidP="00D43316">
      <w:pPr>
        <w:pStyle w:val="Balk2"/>
        <w:numPr>
          <w:ilvl w:val="0"/>
          <w:numId w:val="4"/>
        </w:numPr>
        <w:rPr>
          <w:rStyle w:val="Gl"/>
        </w:rPr>
      </w:pPr>
      <w:r w:rsidRPr="00D43316">
        <w:rPr>
          <w:rStyle w:val="Gl"/>
          <w:b/>
          <w:bCs/>
          <w:color w:val="auto"/>
        </w:rPr>
        <w:t>Başarı Ölçütleri</w:t>
      </w:r>
    </w:p>
    <w:p w:rsidR="006B0BE3" w:rsidRDefault="00071773" w:rsidP="006B0BE3">
      <w:pPr>
        <w:pStyle w:val="NormalWeb"/>
        <w:spacing w:line="276" w:lineRule="auto"/>
        <w:jc w:val="both"/>
        <w:rPr>
          <w:rFonts w:ascii="Arial" w:hAnsi="Arial" w:cs="Arial"/>
          <w:sz w:val="20"/>
          <w:szCs w:val="20"/>
        </w:rPr>
      </w:pPr>
      <w:r w:rsidRPr="003333D8">
        <w:rPr>
          <w:rFonts w:ascii="Arial" w:hAnsi="Arial" w:cs="Arial"/>
          <w:sz w:val="20"/>
          <w:szCs w:val="20"/>
        </w:rPr>
        <w:t>Projenin başarıya ulaşması için çeşitli ölçütler belirlenmiştir. Risk yönetiminde bilgi varlıklarının detaylı bir</w:t>
      </w:r>
      <w:r w:rsidR="008C5FFE">
        <w:rPr>
          <w:rFonts w:ascii="Arial" w:hAnsi="Arial" w:cs="Arial"/>
          <w:sz w:val="20"/>
          <w:szCs w:val="20"/>
        </w:rPr>
        <w:t xml:space="preserve"> </w:t>
      </w:r>
      <w:proofErr w:type="gramStart"/>
      <w:r w:rsidRPr="003333D8">
        <w:rPr>
          <w:rFonts w:ascii="Arial" w:hAnsi="Arial" w:cs="Arial"/>
          <w:sz w:val="20"/>
          <w:szCs w:val="20"/>
        </w:rPr>
        <w:t>envanteri</w:t>
      </w:r>
      <w:proofErr w:type="gramEnd"/>
      <w:r w:rsidRPr="003333D8">
        <w:rPr>
          <w:rFonts w:ascii="Arial" w:hAnsi="Arial" w:cs="Arial"/>
          <w:sz w:val="20"/>
          <w:szCs w:val="20"/>
        </w:rPr>
        <w:t xml:space="preserve"> çıkarılmış, tehditler analiz edilmiştir. Dokümantasyonun standartlara uygunluğu ve </w:t>
      </w:r>
      <w:proofErr w:type="spellStart"/>
      <w:r w:rsidRPr="003333D8">
        <w:rPr>
          <w:rFonts w:ascii="Arial" w:hAnsi="Arial" w:cs="Arial"/>
          <w:sz w:val="20"/>
          <w:szCs w:val="20"/>
        </w:rPr>
        <w:t>organizasyonel</w:t>
      </w:r>
      <w:proofErr w:type="spellEnd"/>
      <w:r w:rsidRPr="003333D8">
        <w:rPr>
          <w:rFonts w:ascii="Arial" w:hAnsi="Arial" w:cs="Arial"/>
          <w:sz w:val="20"/>
          <w:szCs w:val="20"/>
        </w:rPr>
        <w:t xml:space="preserve"> süreçlerle </w:t>
      </w:r>
      <w:proofErr w:type="gramStart"/>
      <w:r w:rsidRPr="003333D8">
        <w:rPr>
          <w:rFonts w:ascii="Arial" w:hAnsi="Arial" w:cs="Arial"/>
          <w:sz w:val="20"/>
          <w:szCs w:val="20"/>
        </w:rPr>
        <w:t>entegrasyonu</w:t>
      </w:r>
      <w:proofErr w:type="gramEnd"/>
      <w:r w:rsidRPr="003333D8">
        <w:rPr>
          <w:rFonts w:ascii="Arial" w:hAnsi="Arial" w:cs="Arial"/>
          <w:sz w:val="20"/>
          <w:szCs w:val="20"/>
        </w:rPr>
        <w:t xml:space="preserve"> sağlanmıştır. Eğitimlerin etkinliği, çalışan farkındalığını ölçen testlerle değerlendirilmiştir. Son ola</w:t>
      </w:r>
      <w:bookmarkStart w:id="0" w:name="_GoBack"/>
      <w:bookmarkEnd w:id="0"/>
      <w:r w:rsidRPr="003333D8">
        <w:rPr>
          <w:rFonts w:ascii="Arial" w:hAnsi="Arial" w:cs="Arial"/>
          <w:sz w:val="20"/>
          <w:szCs w:val="20"/>
        </w:rPr>
        <w:t>rak, ISO 27001 sertifikasının alınması, projenin en somut başarı ölçütü olmuştur.</w:t>
      </w:r>
    </w:p>
    <w:p w:rsidR="00071773" w:rsidRPr="006B0BE3" w:rsidRDefault="006B0BE3" w:rsidP="00566180">
      <w:pPr>
        <w:pStyle w:val="NormalWeb"/>
        <w:numPr>
          <w:ilvl w:val="0"/>
          <w:numId w:val="7"/>
        </w:numPr>
        <w:spacing w:line="276" w:lineRule="auto"/>
        <w:jc w:val="both"/>
        <w:rPr>
          <w:rFonts w:ascii="Arial" w:hAnsi="Arial" w:cs="Arial"/>
          <w:sz w:val="20"/>
          <w:szCs w:val="20"/>
        </w:rPr>
      </w:pPr>
      <w:r w:rsidRPr="006B0BE3">
        <w:rPr>
          <w:rStyle w:val="Gl"/>
          <w:rFonts w:ascii="Arial" w:eastAsiaTheme="majorEastAsia" w:hAnsi="Arial" w:cs="Arial"/>
          <w:bCs w:val="0"/>
          <w:sz w:val="20"/>
          <w:szCs w:val="20"/>
        </w:rPr>
        <w:t>B Planı:</w:t>
      </w:r>
      <w:r>
        <w:rPr>
          <w:rStyle w:val="Gl"/>
          <w:rFonts w:ascii="Arial" w:eastAsiaTheme="majorEastAsia" w:hAnsi="Arial" w:cs="Arial"/>
          <w:b w:val="0"/>
          <w:bCs w:val="0"/>
          <w:sz w:val="20"/>
          <w:szCs w:val="20"/>
        </w:rPr>
        <w:t xml:space="preserve"> </w:t>
      </w:r>
      <w:r w:rsidR="00071773" w:rsidRPr="006B0BE3">
        <w:rPr>
          <w:rFonts w:ascii="Arial" w:hAnsi="Arial" w:cs="Arial"/>
          <w:sz w:val="20"/>
          <w:szCs w:val="20"/>
        </w:rPr>
        <w:t>Projede olası aksaklıklar için alternatif stratejiler geliştirilmiştir. GAP analizi veya risk yönetiminde eksiklikler tespit edilirse, harici danışmanlardan destek alınması planlanmıştır. Eğitimlerde düşük katılım oranlarına karşı çevrimiçi platformlar devreye sokulmuştur. Dokümantasyon sürecinde, eksiklikler hızlıca tamamlanmak üzere sadeleştirilmiştir. Bu alternatifler, proje çıktılarının zamanında ve eksiksiz şekilde elde edilmesini sağlamıştır.</w:t>
      </w:r>
    </w:p>
    <w:p w:rsidR="00071773" w:rsidRPr="00197D93" w:rsidRDefault="00071773" w:rsidP="00197D93">
      <w:pPr>
        <w:pStyle w:val="Balk2"/>
        <w:numPr>
          <w:ilvl w:val="0"/>
          <w:numId w:val="4"/>
        </w:numPr>
        <w:rPr>
          <w:rStyle w:val="Gl"/>
        </w:rPr>
      </w:pPr>
      <w:r w:rsidRPr="00197D93">
        <w:rPr>
          <w:rStyle w:val="Gl"/>
          <w:b/>
          <w:bCs/>
          <w:color w:val="auto"/>
        </w:rPr>
        <w:t>Görev Dağılımı</w:t>
      </w:r>
    </w:p>
    <w:p w:rsidR="00071773" w:rsidRPr="003333D8"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Görevler, ekip üyelerinin uzmanlık alanlarına uygun şekilde dağıtılmıştır. Proje yöneticisi genel koordinasyonu sağlarken, danışman teknik rehberlik sunmuştur. Satın alma, eğitim, kalite güvence ve risk yönetimi ekiplerinin her biri, projenin belirli bir aşamasından sorumlu olmuştur. Bu görev dağılımı, işlerin hızlı ve verimli bir şekilde tamamlanmasını sağlamıştır. Ayrıca, her üyenin katkısı, proje çıktılarının kalitesini artırmıştır.</w:t>
      </w:r>
    </w:p>
    <w:p w:rsidR="00071773" w:rsidRPr="00E25A9F" w:rsidRDefault="00071773" w:rsidP="00E25A9F">
      <w:pPr>
        <w:pStyle w:val="Balk2"/>
        <w:numPr>
          <w:ilvl w:val="0"/>
          <w:numId w:val="4"/>
        </w:numPr>
        <w:rPr>
          <w:rStyle w:val="Gl"/>
        </w:rPr>
      </w:pPr>
      <w:r w:rsidRPr="00E25A9F">
        <w:rPr>
          <w:rStyle w:val="Gl"/>
          <w:b/>
          <w:bCs/>
          <w:color w:val="auto"/>
        </w:rPr>
        <w:t>Bütçe ve Gerekçesi</w:t>
      </w:r>
    </w:p>
    <w:p w:rsidR="00071773" w:rsidRPr="003333D8" w:rsidRDefault="00071773" w:rsidP="00566180">
      <w:pPr>
        <w:pStyle w:val="NormalWeb"/>
        <w:spacing w:line="276" w:lineRule="auto"/>
        <w:jc w:val="both"/>
        <w:rPr>
          <w:rFonts w:ascii="Arial" w:hAnsi="Arial" w:cs="Arial"/>
          <w:sz w:val="20"/>
          <w:szCs w:val="20"/>
        </w:rPr>
      </w:pPr>
      <w:r w:rsidRPr="003333D8">
        <w:rPr>
          <w:rFonts w:ascii="Arial" w:hAnsi="Arial" w:cs="Arial"/>
          <w:sz w:val="20"/>
          <w:szCs w:val="20"/>
        </w:rPr>
        <w:t xml:space="preserve">Projenin toplam bütçesi </w:t>
      </w:r>
      <w:proofErr w:type="gramStart"/>
      <w:r w:rsidRPr="003333D8">
        <w:rPr>
          <w:rFonts w:ascii="Arial" w:hAnsi="Arial" w:cs="Arial"/>
          <w:sz w:val="20"/>
          <w:szCs w:val="20"/>
        </w:rPr>
        <w:t>1,380,599</w:t>
      </w:r>
      <w:proofErr w:type="gramEnd"/>
      <w:r w:rsidRPr="003333D8">
        <w:rPr>
          <w:rFonts w:ascii="Arial" w:hAnsi="Arial" w:cs="Arial"/>
          <w:sz w:val="20"/>
          <w:szCs w:val="20"/>
        </w:rPr>
        <w:t xml:space="preserve"> TL olarak belirlenmiştir. Bu bütçe, </w:t>
      </w:r>
      <w:proofErr w:type="gramStart"/>
      <w:r w:rsidRPr="003333D8">
        <w:rPr>
          <w:rFonts w:ascii="Arial" w:hAnsi="Arial" w:cs="Arial"/>
          <w:sz w:val="20"/>
          <w:szCs w:val="20"/>
        </w:rPr>
        <w:t>ekipman</w:t>
      </w:r>
      <w:proofErr w:type="gramEnd"/>
      <w:r w:rsidRPr="003333D8">
        <w:rPr>
          <w:rFonts w:ascii="Arial" w:hAnsi="Arial" w:cs="Arial"/>
          <w:sz w:val="20"/>
          <w:szCs w:val="20"/>
        </w:rPr>
        <w:t>, sarf malzemesi, hizmet alımı ve seyahat giderlerini kapsamaktadır. Ayrıca, belgelendirme ve danışmanlık gibi uzmanlık gerektiren süreçler için de kaynak ayrılmıştır. Bütçe planlaması, kaynakların etkin kullanımı ve sürdürülebilirliğini sağlamak amacıyla yapılmıştır. Destekleyici kurumların katkıları, bütçenin dengeli bir şekilde dağıtılmasını sağlamıştır.</w:t>
      </w:r>
      <w:r w:rsidR="00052912">
        <w:rPr>
          <w:rFonts w:ascii="Arial" w:hAnsi="Arial" w:cs="Arial"/>
          <w:sz w:val="20"/>
          <w:szCs w:val="20"/>
        </w:rPr>
        <w:t xml:space="preserve"> </w:t>
      </w:r>
      <w:proofErr w:type="gramStart"/>
      <w:r w:rsidRPr="003333D8">
        <w:rPr>
          <w:rFonts w:ascii="Arial" w:hAnsi="Arial" w:cs="Arial"/>
          <w:sz w:val="20"/>
          <w:szCs w:val="20"/>
        </w:rPr>
        <w:t>Ek</w:t>
      </w:r>
      <w:proofErr w:type="gramEnd"/>
      <w:r w:rsidRPr="003333D8">
        <w:rPr>
          <w:rFonts w:ascii="Arial" w:hAnsi="Arial" w:cs="Arial"/>
          <w:sz w:val="20"/>
          <w:szCs w:val="20"/>
        </w:rPr>
        <w:t xml:space="preserve"> giderler, özellikle bilgi güvenliği sisteminin altyapısını güçlendirmek için ayrılmıştır. QNAP NAS Storage, </w:t>
      </w:r>
      <w:proofErr w:type="spellStart"/>
      <w:r w:rsidRPr="003333D8">
        <w:rPr>
          <w:rFonts w:ascii="Arial" w:hAnsi="Arial" w:cs="Arial"/>
          <w:sz w:val="20"/>
          <w:szCs w:val="20"/>
        </w:rPr>
        <w:t>FortiGate</w:t>
      </w:r>
      <w:proofErr w:type="spellEnd"/>
      <w:r w:rsidRPr="003333D8">
        <w:rPr>
          <w:rFonts w:ascii="Arial" w:hAnsi="Arial" w:cs="Arial"/>
          <w:sz w:val="20"/>
          <w:szCs w:val="20"/>
        </w:rPr>
        <w:t xml:space="preserve"> güvenlik sistemleri ve </w:t>
      </w:r>
      <w:proofErr w:type="spellStart"/>
      <w:r w:rsidRPr="003333D8">
        <w:rPr>
          <w:rFonts w:ascii="Arial" w:hAnsi="Arial" w:cs="Arial"/>
          <w:sz w:val="20"/>
          <w:szCs w:val="20"/>
        </w:rPr>
        <w:t>Trellix</w:t>
      </w:r>
      <w:proofErr w:type="spellEnd"/>
      <w:r w:rsidRPr="003333D8">
        <w:rPr>
          <w:rFonts w:ascii="Arial" w:hAnsi="Arial" w:cs="Arial"/>
          <w:sz w:val="20"/>
          <w:szCs w:val="20"/>
        </w:rPr>
        <w:t xml:space="preserve"> DLP yazılımı gibi teknolojiler için bütçe planlanmıştır. Ayrıca, sertifikasyon sürecinde kullanılmak üzere danışmanlık ve eğitim giderleri de eklenmiştir. Bu giderler, organizasyonun bilgi güvenliği altyapısını modernize etmek ve sürdürülebilirlik sağlamak için kritik öneme sahiptir. Ek giderler, projenin genel başarısına önemli bir katkı sağlamıştır.</w:t>
      </w:r>
    </w:p>
    <w:p w:rsidR="004D2F06" w:rsidRPr="003333D8" w:rsidRDefault="004D2F06" w:rsidP="00566180">
      <w:pPr>
        <w:jc w:val="both"/>
        <w:rPr>
          <w:rFonts w:ascii="Arial" w:hAnsi="Arial" w:cs="Arial"/>
          <w:sz w:val="20"/>
          <w:szCs w:val="20"/>
        </w:rPr>
      </w:pPr>
    </w:p>
    <w:sectPr w:rsidR="004D2F06" w:rsidRPr="003333D8" w:rsidSect="00051AFC">
      <w:footerReference w:type="default" r:id="rId9"/>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4C5" w:rsidRDefault="007314C5" w:rsidP="00D03BBC">
      <w:pPr>
        <w:spacing w:after="0" w:line="240" w:lineRule="auto"/>
      </w:pPr>
      <w:r>
        <w:separator/>
      </w:r>
    </w:p>
  </w:endnote>
  <w:endnote w:type="continuationSeparator" w:id="0">
    <w:p w:rsidR="007314C5" w:rsidRDefault="007314C5" w:rsidP="00D03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886959"/>
      <w:docPartObj>
        <w:docPartGallery w:val="Page Numbers (Bottom of Page)"/>
        <w:docPartUnique/>
      </w:docPartObj>
    </w:sdtPr>
    <w:sdtContent>
      <w:p w:rsidR="00D03BBC" w:rsidRDefault="00D03BBC" w:rsidP="008B4FA7">
        <w:pPr>
          <w:pStyle w:val="Altbilgi"/>
          <w:jc w:val="right"/>
        </w:pPr>
        <w:r>
          <w:fldChar w:fldCharType="begin"/>
        </w:r>
        <w:r>
          <w:instrText>PAGE   \* MERGEFORMAT</w:instrText>
        </w:r>
        <w:r>
          <w:fldChar w:fldCharType="separate"/>
        </w:r>
        <w:r w:rsidR="00052912">
          <w:rPr>
            <w:noProof/>
          </w:rPr>
          <w:t>5</w:t>
        </w:r>
        <w:r>
          <w:fldChar w:fldCharType="end"/>
        </w:r>
      </w:p>
    </w:sdtContent>
  </w:sdt>
  <w:p w:rsidR="00D03BBC" w:rsidRDefault="00D03BB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4C5" w:rsidRDefault="007314C5" w:rsidP="00D03BBC">
      <w:pPr>
        <w:spacing w:after="0" w:line="240" w:lineRule="auto"/>
      </w:pPr>
      <w:r>
        <w:separator/>
      </w:r>
    </w:p>
  </w:footnote>
  <w:footnote w:type="continuationSeparator" w:id="0">
    <w:p w:rsidR="007314C5" w:rsidRDefault="007314C5" w:rsidP="00D03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6F00"/>
    <w:multiLevelType w:val="hybridMultilevel"/>
    <w:tmpl w:val="49CA2F3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30AF5765"/>
    <w:multiLevelType w:val="multilevel"/>
    <w:tmpl w:val="13A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B0B9F"/>
    <w:multiLevelType w:val="hybridMultilevel"/>
    <w:tmpl w:val="5B74F8E0"/>
    <w:lvl w:ilvl="0" w:tplc="74042AE4">
      <w:start w:val="1"/>
      <w:numFmt w:val="bullet"/>
      <w:lvlText w:val=""/>
      <w:lvlJc w:val="left"/>
      <w:pPr>
        <w:ind w:left="360" w:hanging="360"/>
      </w:pPr>
      <w:rPr>
        <w:rFonts w:ascii="Symbol" w:hAnsi="Symbol" w:hint="default"/>
        <w:sz w:val="10"/>
        <w:szCs w:val="1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nsid w:val="32896AD1"/>
    <w:multiLevelType w:val="hybridMultilevel"/>
    <w:tmpl w:val="1E2AA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A1D4127"/>
    <w:multiLevelType w:val="hybridMultilevel"/>
    <w:tmpl w:val="5B8A27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D07171F"/>
    <w:multiLevelType w:val="hybridMultilevel"/>
    <w:tmpl w:val="57C6C9C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nsid w:val="6B0569EE"/>
    <w:multiLevelType w:val="hybridMultilevel"/>
    <w:tmpl w:val="7D7EB488"/>
    <w:lvl w:ilvl="0" w:tplc="7906687E">
      <w:start w:val="3"/>
      <w:numFmt w:val="decimal"/>
      <w:lvlText w:val="%1."/>
      <w:lvlJc w:val="left"/>
      <w:pPr>
        <w:ind w:left="360" w:hanging="360"/>
      </w:pPr>
      <w:rPr>
        <w:rFonts w:hint="default"/>
        <w:b/>
        <w:color w:val="auto"/>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DA"/>
    <w:rsid w:val="00045294"/>
    <w:rsid w:val="00051AFC"/>
    <w:rsid w:val="00052912"/>
    <w:rsid w:val="00066371"/>
    <w:rsid w:val="00066828"/>
    <w:rsid w:val="00071773"/>
    <w:rsid w:val="00083903"/>
    <w:rsid w:val="000A037E"/>
    <w:rsid w:val="000A2AB6"/>
    <w:rsid w:val="000B6253"/>
    <w:rsid w:val="000C0499"/>
    <w:rsid w:val="000C2698"/>
    <w:rsid w:val="000E0281"/>
    <w:rsid w:val="000F0778"/>
    <w:rsid w:val="000F4ADA"/>
    <w:rsid w:val="00102F41"/>
    <w:rsid w:val="0010574D"/>
    <w:rsid w:val="00110A04"/>
    <w:rsid w:val="00117476"/>
    <w:rsid w:val="001237D1"/>
    <w:rsid w:val="0013669A"/>
    <w:rsid w:val="00165369"/>
    <w:rsid w:val="00180C97"/>
    <w:rsid w:val="00181E25"/>
    <w:rsid w:val="0018671A"/>
    <w:rsid w:val="00197AFE"/>
    <w:rsid w:val="00197D93"/>
    <w:rsid w:val="001A0637"/>
    <w:rsid w:val="001A181C"/>
    <w:rsid w:val="001B2342"/>
    <w:rsid w:val="001D21B1"/>
    <w:rsid w:val="001D4111"/>
    <w:rsid w:val="00203203"/>
    <w:rsid w:val="00204710"/>
    <w:rsid w:val="002065E7"/>
    <w:rsid w:val="002067CB"/>
    <w:rsid w:val="0021264B"/>
    <w:rsid w:val="00217BEE"/>
    <w:rsid w:val="00223B94"/>
    <w:rsid w:val="002338A2"/>
    <w:rsid w:val="00245023"/>
    <w:rsid w:val="002550F9"/>
    <w:rsid w:val="0026045C"/>
    <w:rsid w:val="00272DC8"/>
    <w:rsid w:val="002747D0"/>
    <w:rsid w:val="0027759C"/>
    <w:rsid w:val="0028099D"/>
    <w:rsid w:val="00281574"/>
    <w:rsid w:val="00284979"/>
    <w:rsid w:val="00293245"/>
    <w:rsid w:val="002A7908"/>
    <w:rsid w:val="002B66E4"/>
    <w:rsid w:val="00302BF0"/>
    <w:rsid w:val="00304B17"/>
    <w:rsid w:val="003069DE"/>
    <w:rsid w:val="00306E55"/>
    <w:rsid w:val="003333D8"/>
    <w:rsid w:val="00342D1A"/>
    <w:rsid w:val="00357AC8"/>
    <w:rsid w:val="00371271"/>
    <w:rsid w:val="0038670A"/>
    <w:rsid w:val="003A6B84"/>
    <w:rsid w:val="003B29F9"/>
    <w:rsid w:val="003B68B3"/>
    <w:rsid w:val="003B7AD9"/>
    <w:rsid w:val="003C5973"/>
    <w:rsid w:val="003E44E2"/>
    <w:rsid w:val="00415E49"/>
    <w:rsid w:val="00442306"/>
    <w:rsid w:val="00444A6E"/>
    <w:rsid w:val="0044730B"/>
    <w:rsid w:val="00451008"/>
    <w:rsid w:val="004538ED"/>
    <w:rsid w:val="00457E40"/>
    <w:rsid w:val="004626DE"/>
    <w:rsid w:val="004652FC"/>
    <w:rsid w:val="004961BA"/>
    <w:rsid w:val="004B1F94"/>
    <w:rsid w:val="004B37A2"/>
    <w:rsid w:val="004C24B4"/>
    <w:rsid w:val="004D2F06"/>
    <w:rsid w:val="004D482B"/>
    <w:rsid w:val="004E205F"/>
    <w:rsid w:val="004E2383"/>
    <w:rsid w:val="004E409C"/>
    <w:rsid w:val="004F04EE"/>
    <w:rsid w:val="004F273F"/>
    <w:rsid w:val="005423D1"/>
    <w:rsid w:val="005474C8"/>
    <w:rsid w:val="00560D86"/>
    <w:rsid w:val="005624F4"/>
    <w:rsid w:val="00566180"/>
    <w:rsid w:val="00567A92"/>
    <w:rsid w:val="00571ECB"/>
    <w:rsid w:val="00572C2D"/>
    <w:rsid w:val="00576FDD"/>
    <w:rsid w:val="00595A9B"/>
    <w:rsid w:val="005A4DC3"/>
    <w:rsid w:val="005C0E94"/>
    <w:rsid w:val="005D3DB1"/>
    <w:rsid w:val="005E2F13"/>
    <w:rsid w:val="00621068"/>
    <w:rsid w:val="00622203"/>
    <w:rsid w:val="00637B7A"/>
    <w:rsid w:val="00642AB4"/>
    <w:rsid w:val="006447D4"/>
    <w:rsid w:val="0066689B"/>
    <w:rsid w:val="00690910"/>
    <w:rsid w:val="006A683C"/>
    <w:rsid w:val="006A6E46"/>
    <w:rsid w:val="006B0AE3"/>
    <w:rsid w:val="006B0BE3"/>
    <w:rsid w:val="006B4AD6"/>
    <w:rsid w:val="006C015E"/>
    <w:rsid w:val="006C4C62"/>
    <w:rsid w:val="006C4D5B"/>
    <w:rsid w:val="006C5DB8"/>
    <w:rsid w:val="006D684F"/>
    <w:rsid w:val="006F727D"/>
    <w:rsid w:val="007314C5"/>
    <w:rsid w:val="00744E72"/>
    <w:rsid w:val="00756233"/>
    <w:rsid w:val="00773370"/>
    <w:rsid w:val="00795404"/>
    <w:rsid w:val="007C1726"/>
    <w:rsid w:val="007C7DC4"/>
    <w:rsid w:val="007D7611"/>
    <w:rsid w:val="007E0A23"/>
    <w:rsid w:val="007E1A46"/>
    <w:rsid w:val="007F2FAD"/>
    <w:rsid w:val="0080062C"/>
    <w:rsid w:val="008071C6"/>
    <w:rsid w:val="008175B2"/>
    <w:rsid w:val="008325E3"/>
    <w:rsid w:val="00843120"/>
    <w:rsid w:val="00860357"/>
    <w:rsid w:val="00865F54"/>
    <w:rsid w:val="00874DA2"/>
    <w:rsid w:val="00877BDC"/>
    <w:rsid w:val="0088433C"/>
    <w:rsid w:val="008A4086"/>
    <w:rsid w:val="008B4FA7"/>
    <w:rsid w:val="008C1D04"/>
    <w:rsid w:val="008C22E2"/>
    <w:rsid w:val="008C291E"/>
    <w:rsid w:val="008C311A"/>
    <w:rsid w:val="008C5FFE"/>
    <w:rsid w:val="008C64EC"/>
    <w:rsid w:val="008F03E7"/>
    <w:rsid w:val="00901A97"/>
    <w:rsid w:val="00922CB3"/>
    <w:rsid w:val="00927E8A"/>
    <w:rsid w:val="009318CA"/>
    <w:rsid w:val="00934FE5"/>
    <w:rsid w:val="00946412"/>
    <w:rsid w:val="00953ED7"/>
    <w:rsid w:val="00980971"/>
    <w:rsid w:val="00997347"/>
    <w:rsid w:val="009A72D6"/>
    <w:rsid w:val="009D0F87"/>
    <w:rsid w:val="009D4F9C"/>
    <w:rsid w:val="009E5F15"/>
    <w:rsid w:val="009F2B6A"/>
    <w:rsid w:val="009F46DB"/>
    <w:rsid w:val="00A10BC8"/>
    <w:rsid w:val="00A3122A"/>
    <w:rsid w:val="00A420E0"/>
    <w:rsid w:val="00A44FD2"/>
    <w:rsid w:val="00A46B17"/>
    <w:rsid w:val="00A46C25"/>
    <w:rsid w:val="00A55590"/>
    <w:rsid w:val="00A6183D"/>
    <w:rsid w:val="00A67144"/>
    <w:rsid w:val="00A851AC"/>
    <w:rsid w:val="00AB4DDD"/>
    <w:rsid w:val="00AC223E"/>
    <w:rsid w:val="00AC4844"/>
    <w:rsid w:val="00AC6613"/>
    <w:rsid w:val="00AF01C6"/>
    <w:rsid w:val="00B03785"/>
    <w:rsid w:val="00B0714A"/>
    <w:rsid w:val="00B25664"/>
    <w:rsid w:val="00B42DEF"/>
    <w:rsid w:val="00B64350"/>
    <w:rsid w:val="00B722CA"/>
    <w:rsid w:val="00B803EF"/>
    <w:rsid w:val="00B8229A"/>
    <w:rsid w:val="00B83E73"/>
    <w:rsid w:val="00B95C95"/>
    <w:rsid w:val="00B97923"/>
    <w:rsid w:val="00BB0A83"/>
    <w:rsid w:val="00BB0E20"/>
    <w:rsid w:val="00BB205F"/>
    <w:rsid w:val="00BB3F32"/>
    <w:rsid w:val="00BB4096"/>
    <w:rsid w:val="00BC518C"/>
    <w:rsid w:val="00BE5D7F"/>
    <w:rsid w:val="00BF54E0"/>
    <w:rsid w:val="00C030BF"/>
    <w:rsid w:val="00C1793A"/>
    <w:rsid w:val="00C350EF"/>
    <w:rsid w:val="00C41324"/>
    <w:rsid w:val="00C47572"/>
    <w:rsid w:val="00C51D76"/>
    <w:rsid w:val="00C824FA"/>
    <w:rsid w:val="00C91AAE"/>
    <w:rsid w:val="00CA0078"/>
    <w:rsid w:val="00CA400B"/>
    <w:rsid w:val="00CB0415"/>
    <w:rsid w:val="00CB0D47"/>
    <w:rsid w:val="00CB574A"/>
    <w:rsid w:val="00CE53EA"/>
    <w:rsid w:val="00D03BBC"/>
    <w:rsid w:val="00D1190F"/>
    <w:rsid w:val="00D124A5"/>
    <w:rsid w:val="00D313B7"/>
    <w:rsid w:val="00D34CFA"/>
    <w:rsid w:val="00D34FFF"/>
    <w:rsid w:val="00D43316"/>
    <w:rsid w:val="00D47E41"/>
    <w:rsid w:val="00D52B72"/>
    <w:rsid w:val="00D55278"/>
    <w:rsid w:val="00D6374C"/>
    <w:rsid w:val="00D64E27"/>
    <w:rsid w:val="00D76241"/>
    <w:rsid w:val="00D840E6"/>
    <w:rsid w:val="00D9406A"/>
    <w:rsid w:val="00DA01F1"/>
    <w:rsid w:val="00DB1AE5"/>
    <w:rsid w:val="00DD5504"/>
    <w:rsid w:val="00DD5A7B"/>
    <w:rsid w:val="00E25A9F"/>
    <w:rsid w:val="00E341EC"/>
    <w:rsid w:val="00E54DF3"/>
    <w:rsid w:val="00E567AB"/>
    <w:rsid w:val="00E677E9"/>
    <w:rsid w:val="00E70E74"/>
    <w:rsid w:val="00E82196"/>
    <w:rsid w:val="00E86D93"/>
    <w:rsid w:val="00E9283B"/>
    <w:rsid w:val="00EA14E2"/>
    <w:rsid w:val="00EA2BD4"/>
    <w:rsid w:val="00EB6555"/>
    <w:rsid w:val="00EC5EF2"/>
    <w:rsid w:val="00ED04D5"/>
    <w:rsid w:val="00ED3A16"/>
    <w:rsid w:val="00EF0977"/>
    <w:rsid w:val="00F03AFA"/>
    <w:rsid w:val="00F14355"/>
    <w:rsid w:val="00F318AA"/>
    <w:rsid w:val="00F50D71"/>
    <w:rsid w:val="00F56EE3"/>
    <w:rsid w:val="00F763BD"/>
    <w:rsid w:val="00F947E7"/>
    <w:rsid w:val="00F94D9B"/>
    <w:rsid w:val="00FA2676"/>
    <w:rsid w:val="00FA6E07"/>
    <w:rsid w:val="00FB2EF2"/>
    <w:rsid w:val="00FC28FC"/>
    <w:rsid w:val="00FC7565"/>
    <w:rsid w:val="00FD35C1"/>
    <w:rsid w:val="00FF089F"/>
    <w:rsid w:val="00FF1B89"/>
    <w:rsid w:val="00FF23D1"/>
    <w:rsid w:val="00FF7696"/>
    <w:rsid w:val="00FF7D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D2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7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9091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B6435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909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2F06"/>
    <w:rPr>
      <w:rFonts w:asciiTheme="majorHAnsi" w:eastAsiaTheme="majorEastAsia" w:hAnsiTheme="majorHAnsi" w:cstheme="majorBidi"/>
      <w:b/>
      <w:bCs/>
      <w:color w:val="365F91" w:themeColor="accent1" w:themeShade="BF"/>
      <w:sz w:val="28"/>
      <w:szCs w:val="28"/>
    </w:rPr>
  </w:style>
  <w:style w:type="character" w:customStyle="1" w:styleId="Balk4Char">
    <w:name w:val="Başlık 4 Char"/>
    <w:basedOn w:val="VarsaylanParagrafYazTipi"/>
    <w:link w:val="Balk4"/>
    <w:uiPriority w:val="9"/>
    <w:semiHidden/>
    <w:rsid w:val="00B64350"/>
    <w:rPr>
      <w:rFonts w:asciiTheme="majorHAnsi" w:eastAsiaTheme="majorEastAsia" w:hAnsiTheme="majorHAnsi" w:cstheme="majorBidi"/>
      <w:b/>
      <w:bCs/>
      <w:i/>
      <w:iCs/>
      <w:color w:val="4F81BD" w:themeColor="accent1"/>
    </w:rPr>
  </w:style>
  <w:style w:type="character" w:styleId="Gl">
    <w:name w:val="Strong"/>
    <w:basedOn w:val="VarsaylanParagrafYazTipi"/>
    <w:uiPriority w:val="22"/>
    <w:qFormat/>
    <w:rsid w:val="00B64350"/>
    <w:rPr>
      <w:b/>
      <w:bCs/>
    </w:rPr>
  </w:style>
  <w:style w:type="paragraph" w:styleId="NormalWeb">
    <w:name w:val="Normal (Web)"/>
    <w:basedOn w:val="Normal"/>
    <w:uiPriority w:val="99"/>
    <w:unhideWhenUsed/>
    <w:rsid w:val="00B643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567A92"/>
    <w:rPr>
      <w:rFonts w:asciiTheme="majorHAnsi" w:eastAsiaTheme="majorEastAsia" w:hAnsiTheme="majorHAnsi" w:cstheme="majorBidi"/>
      <w:b/>
      <w:bCs/>
      <w:color w:val="4F81BD" w:themeColor="accent1"/>
      <w:sz w:val="26"/>
      <w:szCs w:val="26"/>
    </w:rPr>
  </w:style>
  <w:style w:type="character" w:customStyle="1" w:styleId="Balk5Char">
    <w:name w:val="Başlık 5 Char"/>
    <w:basedOn w:val="VarsaylanParagrafYazTipi"/>
    <w:link w:val="Balk5"/>
    <w:uiPriority w:val="9"/>
    <w:semiHidden/>
    <w:rsid w:val="00690910"/>
    <w:rPr>
      <w:rFonts w:asciiTheme="majorHAnsi" w:eastAsiaTheme="majorEastAsia" w:hAnsiTheme="majorHAnsi" w:cstheme="majorBidi"/>
      <w:color w:val="243F60" w:themeColor="accent1" w:themeShade="7F"/>
    </w:rPr>
  </w:style>
  <w:style w:type="character" w:customStyle="1" w:styleId="Balk3Char">
    <w:name w:val="Başlık 3 Char"/>
    <w:basedOn w:val="VarsaylanParagrafYazTipi"/>
    <w:link w:val="Balk3"/>
    <w:uiPriority w:val="9"/>
    <w:rsid w:val="00690910"/>
    <w:rPr>
      <w:rFonts w:asciiTheme="majorHAnsi" w:eastAsiaTheme="majorEastAsia" w:hAnsiTheme="majorHAnsi" w:cstheme="majorBidi"/>
      <w:b/>
      <w:bCs/>
      <w:color w:val="4F81BD" w:themeColor="accent1"/>
    </w:rPr>
  </w:style>
  <w:style w:type="paragraph" w:styleId="stbilgi">
    <w:name w:val="header"/>
    <w:basedOn w:val="Normal"/>
    <w:link w:val="stbilgiChar"/>
    <w:uiPriority w:val="99"/>
    <w:unhideWhenUsed/>
    <w:rsid w:val="00D03B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03BBC"/>
  </w:style>
  <w:style w:type="paragraph" w:styleId="Altbilgi">
    <w:name w:val="footer"/>
    <w:basedOn w:val="Normal"/>
    <w:link w:val="AltbilgiChar"/>
    <w:uiPriority w:val="99"/>
    <w:unhideWhenUsed/>
    <w:rsid w:val="00D03B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03BBC"/>
  </w:style>
  <w:style w:type="paragraph" w:customStyle="1" w:styleId="WW-NormalWeb1">
    <w:name w:val="WW-Normal (Web)1"/>
    <w:basedOn w:val="Normal"/>
    <w:rsid w:val="00566180"/>
    <w:pPr>
      <w:spacing w:before="280" w:after="119" w:line="240" w:lineRule="auto"/>
    </w:pPr>
    <w:rPr>
      <w:rFonts w:ascii="Times New Roman" w:eastAsia="Times New Roman" w:hAnsi="Times New Roman" w:cs="Times New Roman"/>
      <w:sz w:val="24"/>
      <w:szCs w:val="24"/>
      <w:lang w:eastAsia="ar-SA"/>
    </w:rPr>
  </w:style>
  <w:style w:type="table" w:styleId="TabloKlavuzu">
    <w:name w:val="Table Grid"/>
    <w:basedOn w:val="NormalTablo"/>
    <w:rsid w:val="00CE53EA"/>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47572"/>
    <w:pPr>
      <w:ind w:left="720"/>
      <w:contextualSpacing/>
    </w:pPr>
  </w:style>
  <w:style w:type="paragraph" w:styleId="AralkYok">
    <w:name w:val="No Spacing"/>
    <w:uiPriority w:val="1"/>
    <w:qFormat/>
    <w:rsid w:val="002B66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4D2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7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9091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B6435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909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2F06"/>
    <w:rPr>
      <w:rFonts w:asciiTheme="majorHAnsi" w:eastAsiaTheme="majorEastAsia" w:hAnsiTheme="majorHAnsi" w:cstheme="majorBidi"/>
      <w:b/>
      <w:bCs/>
      <w:color w:val="365F91" w:themeColor="accent1" w:themeShade="BF"/>
      <w:sz w:val="28"/>
      <w:szCs w:val="28"/>
    </w:rPr>
  </w:style>
  <w:style w:type="character" w:customStyle="1" w:styleId="Balk4Char">
    <w:name w:val="Başlık 4 Char"/>
    <w:basedOn w:val="VarsaylanParagrafYazTipi"/>
    <w:link w:val="Balk4"/>
    <w:uiPriority w:val="9"/>
    <w:semiHidden/>
    <w:rsid w:val="00B64350"/>
    <w:rPr>
      <w:rFonts w:asciiTheme="majorHAnsi" w:eastAsiaTheme="majorEastAsia" w:hAnsiTheme="majorHAnsi" w:cstheme="majorBidi"/>
      <w:b/>
      <w:bCs/>
      <w:i/>
      <w:iCs/>
      <w:color w:val="4F81BD" w:themeColor="accent1"/>
    </w:rPr>
  </w:style>
  <w:style w:type="character" w:styleId="Gl">
    <w:name w:val="Strong"/>
    <w:basedOn w:val="VarsaylanParagrafYazTipi"/>
    <w:uiPriority w:val="22"/>
    <w:qFormat/>
    <w:rsid w:val="00B64350"/>
    <w:rPr>
      <w:b/>
      <w:bCs/>
    </w:rPr>
  </w:style>
  <w:style w:type="paragraph" w:styleId="NormalWeb">
    <w:name w:val="Normal (Web)"/>
    <w:basedOn w:val="Normal"/>
    <w:uiPriority w:val="99"/>
    <w:unhideWhenUsed/>
    <w:rsid w:val="00B643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567A92"/>
    <w:rPr>
      <w:rFonts w:asciiTheme="majorHAnsi" w:eastAsiaTheme="majorEastAsia" w:hAnsiTheme="majorHAnsi" w:cstheme="majorBidi"/>
      <w:b/>
      <w:bCs/>
      <w:color w:val="4F81BD" w:themeColor="accent1"/>
      <w:sz w:val="26"/>
      <w:szCs w:val="26"/>
    </w:rPr>
  </w:style>
  <w:style w:type="character" w:customStyle="1" w:styleId="Balk5Char">
    <w:name w:val="Başlık 5 Char"/>
    <w:basedOn w:val="VarsaylanParagrafYazTipi"/>
    <w:link w:val="Balk5"/>
    <w:uiPriority w:val="9"/>
    <w:semiHidden/>
    <w:rsid w:val="00690910"/>
    <w:rPr>
      <w:rFonts w:asciiTheme="majorHAnsi" w:eastAsiaTheme="majorEastAsia" w:hAnsiTheme="majorHAnsi" w:cstheme="majorBidi"/>
      <w:color w:val="243F60" w:themeColor="accent1" w:themeShade="7F"/>
    </w:rPr>
  </w:style>
  <w:style w:type="character" w:customStyle="1" w:styleId="Balk3Char">
    <w:name w:val="Başlık 3 Char"/>
    <w:basedOn w:val="VarsaylanParagrafYazTipi"/>
    <w:link w:val="Balk3"/>
    <w:uiPriority w:val="9"/>
    <w:rsid w:val="00690910"/>
    <w:rPr>
      <w:rFonts w:asciiTheme="majorHAnsi" w:eastAsiaTheme="majorEastAsia" w:hAnsiTheme="majorHAnsi" w:cstheme="majorBidi"/>
      <w:b/>
      <w:bCs/>
      <w:color w:val="4F81BD" w:themeColor="accent1"/>
    </w:rPr>
  </w:style>
  <w:style w:type="paragraph" w:styleId="stbilgi">
    <w:name w:val="header"/>
    <w:basedOn w:val="Normal"/>
    <w:link w:val="stbilgiChar"/>
    <w:uiPriority w:val="99"/>
    <w:unhideWhenUsed/>
    <w:rsid w:val="00D03B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03BBC"/>
  </w:style>
  <w:style w:type="paragraph" w:styleId="Altbilgi">
    <w:name w:val="footer"/>
    <w:basedOn w:val="Normal"/>
    <w:link w:val="AltbilgiChar"/>
    <w:uiPriority w:val="99"/>
    <w:unhideWhenUsed/>
    <w:rsid w:val="00D03B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03BBC"/>
  </w:style>
  <w:style w:type="paragraph" w:customStyle="1" w:styleId="WW-NormalWeb1">
    <w:name w:val="WW-Normal (Web)1"/>
    <w:basedOn w:val="Normal"/>
    <w:rsid w:val="00566180"/>
    <w:pPr>
      <w:spacing w:before="280" w:after="119" w:line="240" w:lineRule="auto"/>
    </w:pPr>
    <w:rPr>
      <w:rFonts w:ascii="Times New Roman" w:eastAsia="Times New Roman" w:hAnsi="Times New Roman" w:cs="Times New Roman"/>
      <w:sz w:val="24"/>
      <w:szCs w:val="24"/>
      <w:lang w:eastAsia="ar-SA"/>
    </w:rPr>
  </w:style>
  <w:style w:type="table" w:styleId="TabloKlavuzu">
    <w:name w:val="Table Grid"/>
    <w:basedOn w:val="NormalTablo"/>
    <w:rsid w:val="00CE53EA"/>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C47572"/>
    <w:pPr>
      <w:ind w:left="720"/>
      <w:contextualSpacing/>
    </w:pPr>
  </w:style>
  <w:style w:type="paragraph" w:styleId="AralkYok">
    <w:name w:val="No Spacing"/>
    <w:uiPriority w:val="1"/>
    <w:qFormat/>
    <w:rsid w:val="002B6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673">
      <w:bodyDiv w:val="1"/>
      <w:marLeft w:val="0"/>
      <w:marRight w:val="0"/>
      <w:marTop w:val="0"/>
      <w:marBottom w:val="0"/>
      <w:divBdr>
        <w:top w:val="none" w:sz="0" w:space="0" w:color="auto"/>
        <w:left w:val="none" w:sz="0" w:space="0" w:color="auto"/>
        <w:bottom w:val="none" w:sz="0" w:space="0" w:color="auto"/>
        <w:right w:val="none" w:sz="0" w:space="0" w:color="auto"/>
      </w:divBdr>
    </w:div>
    <w:div w:id="47996756">
      <w:bodyDiv w:val="1"/>
      <w:marLeft w:val="0"/>
      <w:marRight w:val="0"/>
      <w:marTop w:val="0"/>
      <w:marBottom w:val="0"/>
      <w:divBdr>
        <w:top w:val="none" w:sz="0" w:space="0" w:color="auto"/>
        <w:left w:val="none" w:sz="0" w:space="0" w:color="auto"/>
        <w:bottom w:val="none" w:sz="0" w:space="0" w:color="auto"/>
        <w:right w:val="none" w:sz="0" w:space="0" w:color="auto"/>
      </w:divBdr>
    </w:div>
    <w:div w:id="346181259">
      <w:bodyDiv w:val="1"/>
      <w:marLeft w:val="0"/>
      <w:marRight w:val="0"/>
      <w:marTop w:val="0"/>
      <w:marBottom w:val="0"/>
      <w:divBdr>
        <w:top w:val="none" w:sz="0" w:space="0" w:color="auto"/>
        <w:left w:val="none" w:sz="0" w:space="0" w:color="auto"/>
        <w:bottom w:val="none" w:sz="0" w:space="0" w:color="auto"/>
        <w:right w:val="none" w:sz="0" w:space="0" w:color="auto"/>
      </w:divBdr>
    </w:div>
    <w:div w:id="350493417">
      <w:bodyDiv w:val="1"/>
      <w:marLeft w:val="0"/>
      <w:marRight w:val="0"/>
      <w:marTop w:val="0"/>
      <w:marBottom w:val="0"/>
      <w:divBdr>
        <w:top w:val="none" w:sz="0" w:space="0" w:color="auto"/>
        <w:left w:val="none" w:sz="0" w:space="0" w:color="auto"/>
        <w:bottom w:val="none" w:sz="0" w:space="0" w:color="auto"/>
        <w:right w:val="none" w:sz="0" w:space="0" w:color="auto"/>
      </w:divBdr>
    </w:div>
    <w:div w:id="366836083">
      <w:bodyDiv w:val="1"/>
      <w:marLeft w:val="0"/>
      <w:marRight w:val="0"/>
      <w:marTop w:val="0"/>
      <w:marBottom w:val="0"/>
      <w:divBdr>
        <w:top w:val="none" w:sz="0" w:space="0" w:color="auto"/>
        <w:left w:val="none" w:sz="0" w:space="0" w:color="auto"/>
        <w:bottom w:val="none" w:sz="0" w:space="0" w:color="auto"/>
        <w:right w:val="none" w:sz="0" w:space="0" w:color="auto"/>
      </w:divBdr>
    </w:div>
    <w:div w:id="521481711">
      <w:bodyDiv w:val="1"/>
      <w:marLeft w:val="0"/>
      <w:marRight w:val="0"/>
      <w:marTop w:val="0"/>
      <w:marBottom w:val="0"/>
      <w:divBdr>
        <w:top w:val="none" w:sz="0" w:space="0" w:color="auto"/>
        <w:left w:val="none" w:sz="0" w:space="0" w:color="auto"/>
        <w:bottom w:val="none" w:sz="0" w:space="0" w:color="auto"/>
        <w:right w:val="none" w:sz="0" w:space="0" w:color="auto"/>
      </w:divBdr>
    </w:div>
    <w:div w:id="591011638">
      <w:bodyDiv w:val="1"/>
      <w:marLeft w:val="0"/>
      <w:marRight w:val="0"/>
      <w:marTop w:val="0"/>
      <w:marBottom w:val="0"/>
      <w:divBdr>
        <w:top w:val="none" w:sz="0" w:space="0" w:color="auto"/>
        <w:left w:val="none" w:sz="0" w:space="0" w:color="auto"/>
        <w:bottom w:val="none" w:sz="0" w:space="0" w:color="auto"/>
        <w:right w:val="none" w:sz="0" w:space="0" w:color="auto"/>
      </w:divBdr>
    </w:div>
    <w:div w:id="629283032">
      <w:bodyDiv w:val="1"/>
      <w:marLeft w:val="0"/>
      <w:marRight w:val="0"/>
      <w:marTop w:val="0"/>
      <w:marBottom w:val="0"/>
      <w:divBdr>
        <w:top w:val="none" w:sz="0" w:space="0" w:color="auto"/>
        <w:left w:val="none" w:sz="0" w:space="0" w:color="auto"/>
        <w:bottom w:val="none" w:sz="0" w:space="0" w:color="auto"/>
        <w:right w:val="none" w:sz="0" w:space="0" w:color="auto"/>
      </w:divBdr>
    </w:div>
    <w:div w:id="647830540">
      <w:bodyDiv w:val="1"/>
      <w:marLeft w:val="0"/>
      <w:marRight w:val="0"/>
      <w:marTop w:val="0"/>
      <w:marBottom w:val="0"/>
      <w:divBdr>
        <w:top w:val="none" w:sz="0" w:space="0" w:color="auto"/>
        <w:left w:val="none" w:sz="0" w:space="0" w:color="auto"/>
        <w:bottom w:val="none" w:sz="0" w:space="0" w:color="auto"/>
        <w:right w:val="none" w:sz="0" w:space="0" w:color="auto"/>
      </w:divBdr>
    </w:div>
    <w:div w:id="813105733">
      <w:bodyDiv w:val="1"/>
      <w:marLeft w:val="0"/>
      <w:marRight w:val="0"/>
      <w:marTop w:val="0"/>
      <w:marBottom w:val="0"/>
      <w:divBdr>
        <w:top w:val="none" w:sz="0" w:space="0" w:color="auto"/>
        <w:left w:val="none" w:sz="0" w:space="0" w:color="auto"/>
        <w:bottom w:val="none" w:sz="0" w:space="0" w:color="auto"/>
        <w:right w:val="none" w:sz="0" w:space="0" w:color="auto"/>
      </w:divBdr>
    </w:div>
    <w:div w:id="820391395">
      <w:bodyDiv w:val="1"/>
      <w:marLeft w:val="0"/>
      <w:marRight w:val="0"/>
      <w:marTop w:val="0"/>
      <w:marBottom w:val="0"/>
      <w:divBdr>
        <w:top w:val="none" w:sz="0" w:space="0" w:color="auto"/>
        <w:left w:val="none" w:sz="0" w:space="0" w:color="auto"/>
        <w:bottom w:val="none" w:sz="0" w:space="0" w:color="auto"/>
        <w:right w:val="none" w:sz="0" w:space="0" w:color="auto"/>
      </w:divBdr>
    </w:div>
    <w:div w:id="896402487">
      <w:bodyDiv w:val="1"/>
      <w:marLeft w:val="0"/>
      <w:marRight w:val="0"/>
      <w:marTop w:val="0"/>
      <w:marBottom w:val="0"/>
      <w:divBdr>
        <w:top w:val="none" w:sz="0" w:space="0" w:color="auto"/>
        <w:left w:val="none" w:sz="0" w:space="0" w:color="auto"/>
        <w:bottom w:val="none" w:sz="0" w:space="0" w:color="auto"/>
        <w:right w:val="none" w:sz="0" w:space="0" w:color="auto"/>
      </w:divBdr>
    </w:div>
    <w:div w:id="915700388">
      <w:bodyDiv w:val="1"/>
      <w:marLeft w:val="0"/>
      <w:marRight w:val="0"/>
      <w:marTop w:val="0"/>
      <w:marBottom w:val="0"/>
      <w:divBdr>
        <w:top w:val="none" w:sz="0" w:space="0" w:color="auto"/>
        <w:left w:val="none" w:sz="0" w:space="0" w:color="auto"/>
        <w:bottom w:val="none" w:sz="0" w:space="0" w:color="auto"/>
        <w:right w:val="none" w:sz="0" w:space="0" w:color="auto"/>
      </w:divBdr>
    </w:div>
    <w:div w:id="950817899">
      <w:bodyDiv w:val="1"/>
      <w:marLeft w:val="0"/>
      <w:marRight w:val="0"/>
      <w:marTop w:val="0"/>
      <w:marBottom w:val="0"/>
      <w:divBdr>
        <w:top w:val="none" w:sz="0" w:space="0" w:color="auto"/>
        <w:left w:val="none" w:sz="0" w:space="0" w:color="auto"/>
        <w:bottom w:val="none" w:sz="0" w:space="0" w:color="auto"/>
        <w:right w:val="none" w:sz="0" w:space="0" w:color="auto"/>
      </w:divBdr>
    </w:div>
    <w:div w:id="1079715700">
      <w:bodyDiv w:val="1"/>
      <w:marLeft w:val="0"/>
      <w:marRight w:val="0"/>
      <w:marTop w:val="0"/>
      <w:marBottom w:val="0"/>
      <w:divBdr>
        <w:top w:val="none" w:sz="0" w:space="0" w:color="auto"/>
        <w:left w:val="none" w:sz="0" w:space="0" w:color="auto"/>
        <w:bottom w:val="none" w:sz="0" w:space="0" w:color="auto"/>
        <w:right w:val="none" w:sz="0" w:space="0" w:color="auto"/>
      </w:divBdr>
    </w:div>
    <w:div w:id="1139230860">
      <w:bodyDiv w:val="1"/>
      <w:marLeft w:val="0"/>
      <w:marRight w:val="0"/>
      <w:marTop w:val="0"/>
      <w:marBottom w:val="0"/>
      <w:divBdr>
        <w:top w:val="none" w:sz="0" w:space="0" w:color="auto"/>
        <w:left w:val="none" w:sz="0" w:space="0" w:color="auto"/>
        <w:bottom w:val="none" w:sz="0" w:space="0" w:color="auto"/>
        <w:right w:val="none" w:sz="0" w:space="0" w:color="auto"/>
      </w:divBdr>
    </w:div>
    <w:div w:id="1238511315">
      <w:bodyDiv w:val="1"/>
      <w:marLeft w:val="0"/>
      <w:marRight w:val="0"/>
      <w:marTop w:val="0"/>
      <w:marBottom w:val="0"/>
      <w:divBdr>
        <w:top w:val="none" w:sz="0" w:space="0" w:color="auto"/>
        <w:left w:val="none" w:sz="0" w:space="0" w:color="auto"/>
        <w:bottom w:val="none" w:sz="0" w:space="0" w:color="auto"/>
        <w:right w:val="none" w:sz="0" w:space="0" w:color="auto"/>
      </w:divBdr>
    </w:div>
    <w:div w:id="1253245185">
      <w:bodyDiv w:val="1"/>
      <w:marLeft w:val="0"/>
      <w:marRight w:val="0"/>
      <w:marTop w:val="0"/>
      <w:marBottom w:val="0"/>
      <w:divBdr>
        <w:top w:val="none" w:sz="0" w:space="0" w:color="auto"/>
        <w:left w:val="none" w:sz="0" w:space="0" w:color="auto"/>
        <w:bottom w:val="none" w:sz="0" w:space="0" w:color="auto"/>
        <w:right w:val="none" w:sz="0" w:space="0" w:color="auto"/>
      </w:divBdr>
    </w:div>
    <w:div w:id="1277325908">
      <w:bodyDiv w:val="1"/>
      <w:marLeft w:val="0"/>
      <w:marRight w:val="0"/>
      <w:marTop w:val="0"/>
      <w:marBottom w:val="0"/>
      <w:divBdr>
        <w:top w:val="none" w:sz="0" w:space="0" w:color="auto"/>
        <w:left w:val="none" w:sz="0" w:space="0" w:color="auto"/>
        <w:bottom w:val="none" w:sz="0" w:space="0" w:color="auto"/>
        <w:right w:val="none" w:sz="0" w:space="0" w:color="auto"/>
      </w:divBdr>
    </w:div>
    <w:div w:id="1278217977">
      <w:bodyDiv w:val="1"/>
      <w:marLeft w:val="0"/>
      <w:marRight w:val="0"/>
      <w:marTop w:val="0"/>
      <w:marBottom w:val="0"/>
      <w:divBdr>
        <w:top w:val="none" w:sz="0" w:space="0" w:color="auto"/>
        <w:left w:val="none" w:sz="0" w:space="0" w:color="auto"/>
        <w:bottom w:val="none" w:sz="0" w:space="0" w:color="auto"/>
        <w:right w:val="none" w:sz="0" w:space="0" w:color="auto"/>
      </w:divBdr>
    </w:div>
    <w:div w:id="1449668148">
      <w:bodyDiv w:val="1"/>
      <w:marLeft w:val="0"/>
      <w:marRight w:val="0"/>
      <w:marTop w:val="0"/>
      <w:marBottom w:val="0"/>
      <w:divBdr>
        <w:top w:val="none" w:sz="0" w:space="0" w:color="auto"/>
        <w:left w:val="none" w:sz="0" w:space="0" w:color="auto"/>
        <w:bottom w:val="none" w:sz="0" w:space="0" w:color="auto"/>
        <w:right w:val="none" w:sz="0" w:space="0" w:color="auto"/>
      </w:divBdr>
    </w:div>
    <w:div w:id="1513450361">
      <w:bodyDiv w:val="1"/>
      <w:marLeft w:val="0"/>
      <w:marRight w:val="0"/>
      <w:marTop w:val="0"/>
      <w:marBottom w:val="0"/>
      <w:divBdr>
        <w:top w:val="none" w:sz="0" w:space="0" w:color="auto"/>
        <w:left w:val="none" w:sz="0" w:space="0" w:color="auto"/>
        <w:bottom w:val="none" w:sz="0" w:space="0" w:color="auto"/>
        <w:right w:val="none" w:sz="0" w:space="0" w:color="auto"/>
      </w:divBdr>
    </w:div>
    <w:div w:id="1724139837">
      <w:bodyDiv w:val="1"/>
      <w:marLeft w:val="0"/>
      <w:marRight w:val="0"/>
      <w:marTop w:val="0"/>
      <w:marBottom w:val="0"/>
      <w:divBdr>
        <w:top w:val="none" w:sz="0" w:space="0" w:color="auto"/>
        <w:left w:val="none" w:sz="0" w:space="0" w:color="auto"/>
        <w:bottom w:val="none" w:sz="0" w:space="0" w:color="auto"/>
        <w:right w:val="none" w:sz="0" w:space="0" w:color="auto"/>
      </w:divBdr>
    </w:div>
    <w:div w:id="1745177333">
      <w:bodyDiv w:val="1"/>
      <w:marLeft w:val="0"/>
      <w:marRight w:val="0"/>
      <w:marTop w:val="0"/>
      <w:marBottom w:val="0"/>
      <w:divBdr>
        <w:top w:val="none" w:sz="0" w:space="0" w:color="auto"/>
        <w:left w:val="none" w:sz="0" w:space="0" w:color="auto"/>
        <w:bottom w:val="none" w:sz="0" w:space="0" w:color="auto"/>
        <w:right w:val="none" w:sz="0" w:space="0" w:color="auto"/>
      </w:divBdr>
    </w:div>
    <w:div w:id="1829978950">
      <w:bodyDiv w:val="1"/>
      <w:marLeft w:val="0"/>
      <w:marRight w:val="0"/>
      <w:marTop w:val="0"/>
      <w:marBottom w:val="0"/>
      <w:divBdr>
        <w:top w:val="none" w:sz="0" w:space="0" w:color="auto"/>
        <w:left w:val="none" w:sz="0" w:space="0" w:color="auto"/>
        <w:bottom w:val="none" w:sz="0" w:space="0" w:color="auto"/>
        <w:right w:val="none" w:sz="0" w:space="0" w:color="auto"/>
      </w:divBdr>
    </w:div>
    <w:div w:id="1843547869">
      <w:bodyDiv w:val="1"/>
      <w:marLeft w:val="0"/>
      <w:marRight w:val="0"/>
      <w:marTop w:val="0"/>
      <w:marBottom w:val="0"/>
      <w:divBdr>
        <w:top w:val="none" w:sz="0" w:space="0" w:color="auto"/>
        <w:left w:val="none" w:sz="0" w:space="0" w:color="auto"/>
        <w:bottom w:val="none" w:sz="0" w:space="0" w:color="auto"/>
        <w:right w:val="none" w:sz="0" w:space="0" w:color="auto"/>
      </w:divBdr>
    </w:div>
    <w:div w:id="1871066896">
      <w:bodyDiv w:val="1"/>
      <w:marLeft w:val="0"/>
      <w:marRight w:val="0"/>
      <w:marTop w:val="0"/>
      <w:marBottom w:val="0"/>
      <w:divBdr>
        <w:top w:val="none" w:sz="0" w:space="0" w:color="auto"/>
        <w:left w:val="none" w:sz="0" w:space="0" w:color="auto"/>
        <w:bottom w:val="none" w:sz="0" w:space="0" w:color="auto"/>
        <w:right w:val="none" w:sz="0" w:space="0" w:color="auto"/>
      </w:divBdr>
    </w:div>
    <w:div w:id="206556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B3B6F-2C30-44BE-8F94-79DA44B45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2754</Words>
  <Characters>15702</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OZTURK</dc:creator>
  <cp:keywords/>
  <dc:description/>
  <cp:lastModifiedBy>Sedat OZTURK</cp:lastModifiedBy>
  <cp:revision>477</cp:revision>
  <dcterms:created xsi:type="dcterms:W3CDTF">2025-01-02T07:45:00Z</dcterms:created>
  <dcterms:modified xsi:type="dcterms:W3CDTF">2025-01-02T11:31:00Z</dcterms:modified>
</cp:coreProperties>
</file>