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08FD" w14:textId="77777777" w:rsidR="00AD0DE7" w:rsidRPr="00AD0DE7" w:rsidRDefault="00AD0DE7" w:rsidP="005E7385">
      <w:pPr>
        <w:pStyle w:val="Heading1"/>
      </w:pPr>
      <w:r w:rsidRPr="00AD0DE7">
        <w:t>Rural Credit Utilization &amp; Deposit Trends in India (2009–2024)</w:t>
      </w:r>
    </w:p>
    <w:p w14:paraId="2C178E14" w14:textId="787B9103" w:rsidR="00AD0DE7" w:rsidRPr="00AD0DE7" w:rsidRDefault="00AD0DE7" w:rsidP="00AD0DE7">
      <w:r w:rsidRPr="00AD0DE7">
        <w:t>A SQL + Power BI analysis of district-level bank credit and deposit data from the Reserve Bank of India</w:t>
      </w:r>
      <w:r>
        <w:t xml:space="preserve"> is</w:t>
      </w:r>
      <w:r w:rsidRPr="00AD0DE7">
        <w:t xml:space="preserve"> built to identify districts where sanctioned credit is going unused and what that implies for rural credit-access policy.</w:t>
      </w:r>
    </w:p>
    <w:p w14:paraId="1EB269A3" w14:textId="5B027E11" w:rsidR="00AD0DE7" w:rsidRPr="00AD0DE7" w:rsidRDefault="00AD0DE7" w:rsidP="005E7385">
      <w:pPr>
        <w:pStyle w:val="Heading2"/>
      </w:pPr>
      <w:r w:rsidRPr="00AD0DE7">
        <w:t xml:space="preserve">Why this </w:t>
      </w:r>
      <w:proofErr w:type="gramStart"/>
      <w:r w:rsidRPr="00AD0DE7">
        <w:t>project</w:t>
      </w:r>
      <w:r>
        <w:t xml:space="preserve"> :</w:t>
      </w:r>
      <w:proofErr w:type="gramEnd"/>
    </w:p>
    <w:p w14:paraId="3D8B59EC" w14:textId="0F97B016" w:rsidR="00AD0DE7" w:rsidRPr="00AD0DE7" w:rsidRDefault="00AD0DE7" w:rsidP="00AD0DE7">
      <w:r w:rsidRPr="00AD0DE7">
        <w:t xml:space="preserve">Most credit-access analyses stop at the credit-deposit (C-D) ratio. This project asks a more specific question: </w:t>
      </w:r>
      <w:r w:rsidRPr="00AD0DE7">
        <w:rPr>
          <w:b/>
          <w:bCs/>
        </w:rPr>
        <w:t>within credit already sanctioned to a district, how much of it is actually being drawn down?</w:t>
      </w:r>
      <w:r w:rsidRPr="00AD0DE7">
        <w:t xml:space="preserve"> A district can look credit-served on paper while still facing real barriers </w:t>
      </w:r>
      <w:r>
        <w:t xml:space="preserve">of </w:t>
      </w:r>
      <w:r w:rsidRPr="00AD0DE7">
        <w:t>awareness gaps, disbursement friction</w:t>
      </w:r>
      <w:r>
        <w:t xml:space="preserve"> and</w:t>
      </w:r>
      <w:r w:rsidRPr="00AD0DE7">
        <w:t xml:space="preserve"> documentation hurdles</w:t>
      </w:r>
      <w:r>
        <w:t>,</w:t>
      </w:r>
      <w:r w:rsidRPr="00AD0DE7">
        <w:t xml:space="preserve"> that keep the money unused. That gap is where targeted policy intervention </w:t>
      </w:r>
      <w:r>
        <w:t xml:space="preserve">like </w:t>
      </w:r>
      <w:r w:rsidRPr="00AD0DE7">
        <w:t>doorstep banking, SHG-linked credit camps</w:t>
      </w:r>
      <w:r>
        <w:t xml:space="preserve"> and</w:t>
      </w:r>
      <w:r w:rsidRPr="00AD0DE7">
        <w:t xml:space="preserve"> financial literacy drives has the most leverage.</w:t>
      </w:r>
    </w:p>
    <w:p w14:paraId="2605860E" w14:textId="07B2FC65" w:rsidR="00AD0DE7" w:rsidRPr="00AD0DE7" w:rsidRDefault="00AD0DE7" w:rsidP="005E7385">
      <w:pPr>
        <w:pStyle w:val="Heading2"/>
      </w:pPr>
      <w:r w:rsidRPr="00AD0DE7">
        <w:t xml:space="preserve">Data </w:t>
      </w:r>
      <w:proofErr w:type="gramStart"/>
      <w:r w:rsidRPr="00AD0DE7">
        <w:t>sources</w:t>
      </w:r>
      <w:r>
        <w:t xml:space="preserve"> :</w:t>
      </w:r>
      <w:proofErr w:type="gramEnd"/>
    </w:p>
    <w:p w14:paraId="3CF4A053" w14:textId="2C6B2682" w:rsidR="00AD0DE7" w:rsidRPr="00AD0DE7" w:rsidRDefault="00AD0DE7" w:rsidP="00AD0DE7">
      <w:pPr>
        <w:numPr>
          <w:ilvl w:val="0"/>
          <w:numId w:val="1"/>
        </w:numPr>
      </w:pPr>
      <w:r w:rsidRPr="00AD0DE7">
        <w:rPr>
          <w:b/>
          <w:bCs/>
        </w:rPr>
        <w:t>Bank Credit of SCBs</w:t>
      </w:r>
      <w:r w:rsidRPr="00AD0DE7">
        <w:t xml:space="preserve"> </w:t>
      </w:r>
      <w:r w:rsidR="000E20B5">
        <w:t>-</w:t>
      </w:r>
      <w:r w:rsidRPr="00AD0DE7">
        <w:t xml:space="preserve"> district-wise, 2019–2024. No. of accounts, credit limit sanctioned, amount outstanding.</w:t>
      </w:r>
    </w:p>
    <w:p w14:paraId="0FB776CF" w14:textId="1608A6F5" w:rsidR="00AD0DE7" w:rsidRPr="00AD0DE7" w:rsidRDefault="00AD0DE7" w:rsidP="00AD0DE7">
      <w:pPr>
        <w:numPr>
          <w:ilvl w:val="0"/>
          <w:numId w:val="1"/>
        </w:numPr>
      </w:pPr>
      <w:r w:rsidRPr="00AD0DE7">
        <w:rPr>
          <w:b/>
          <w:bCs/>
        </w:rPr>
        <w:t>Bank Deposits of SCBs</w:t>
      </w:r>
      <w:r w:rsidRPr="00AD0DE7">
        <w:t xml:space="preserve"> </w:t>
      </w:r>
      <w:r w:rsidR="000E20B5">
        <w:t>-</w:t>
      </w:r>
      <w:r w:rsidRPr="00AD0DE7">
        <w:t xml:space="preserve"> district-wise, 2009-10 to 2017-18. Deposit accounts and amounts by population group (rural/semi-urban/urban/metro).</w:t>
      </w:r>
    </w:p>
    <w:p w14:paraId="0C5590D6" w14:textId="77777777" w:rsidR="00AD0DE7" w:rsidRPr="00AD0DE7" w:rsidRDefault="00AD0DE7" w:rsidP="00AD0DE7">
      <w:pPr>
        <w:numPr>
          <w:ilvl w:val="0"/>
          <w:numId w:val="1"/>
        </w:numPr>
      </w:pPr>
      <w:r w:rsidRPr="00AD0DE7">
        <w:t>Source: RBI Database on Indian Economy (</w:t>
      </w:r>
      <w:hyperlink r:id="rId5" w:history="1">
        <w:r w:rsidRPr="00AD0DE7">
          <w:rPr>
            <w:rStyle w:val="Hyperlink"/>
          </w:rPr>
          <w:t>data.rbi.org.in</w:t>
        </w:r>
      </w:hyperlink>
      <w:r w:rsidRPr="00AD0DE7">
        <w:t>)</w:t>
      </w:r>
    </w:p>
    <w:p w14:paraId="49A2069B" w14:textId="605FE091" w:rsidR="00AD0DE7" w:rsidRPr="00AD0DE7" w:rsidRDefault="000E20B5" w:rsidP="00AD0DE7">
      <w:r>
        <w:t xml:space="preserve">The </w:t>
      </w:r>
      <w:r w:rsidR="00AD0DE7" w:rsidRPr="00AD0DE7">
        <w:t xml:space="preserve">two datasets don't share overlapping years on RBI's portal, so they're used for two separate but complementary stories </w:t>
      </w:r>
      <w:r>
        <w:t xml:space="preserve">i.e. </w:t>
      </w:r>
      <w:r w:rsidR="00AD0DE7" w:rsidRPr="00AD0DE7">
        <w:t>current-state credit utilization (2019–24) and historical deposit growth (2009–17).</w:t>
      </w:r>
    </w:p>
    <w:p w14:paraId="67E4503B" w14:textId="306E7F74" w:rsidR="00AD0DE7" w:rsidRPr="00AD0DE7" w:rsidRDefault="000E20B5" w:rsidP="005E7385">
      <w:pPr>
        <w:pStyle w:val="Heading2"/>
      </w:pPr>
      <w:r>
        <w:t>Tools used:</w:t>
      </w:r>
    </w:p>
    <w:p w14:paraId="3CE6E52A" w14:textId="42A28ACA" w:rsidR="00AD0DE7" w:rsidRPr="00AD0DE7" w:rsidRDefault="000E20B5" w:rsidP="005E7385">
      <w:pPr>
        <w:pStyle w:val="Heading3"/>
      </w:pPr>
      <w:r>
        <w:t>1)</w:t>
      </w:r>
      <w:r w:rsidR="00AD0DE7" w:rsidRPr="000E20B5">
        <w:t xml:space="preserve">SQL </w:t>
      </w:r>
    </w:p>
    <w:p w14:paraId="00F24E29" w14:textId="77777777" w:rsidR="00AD0DE7" w:rsidRPr="00AD0DE7" w:rsidRDefault="00AD0DE7" w:rsidP="000E20B5">
      <w:pPr>
        <w:numPr>
          <w:ilvl w:val="0"/>
          <w:numId w:val="5"/>
        </w:numPr>
      </w:pPr>
      <w:r w:rsidRPr="00AD0DE7">
        <w:t>Reshaped raw wide-format RBI exports into a clean long-format schema (District, Year, metric columns)</w:t>
      </w:r>
    </w:p>
    <w:p w14:paraId="6AAD1C76" w14:textId="77777777" w:rsidR="00AD0DE7" w:rsidRPr="00AD0DE7" w:rsidRDefault="00AD0DE7" w:rsidP="000E20B5">
      <w:pPr>
        <w:numPr>
          <w:ilvl w:val="0"/>
          <w:numId w:val="5"/>
        </w:numPr>
      </w:pPr>
      <w:r w:rsidRPr="00AD0DE7">
        <w:t xml:space="preserve">Derived a new metric, </w:t>
      </w:r>
      <w:r w:rsidRPr="00AD0DE7">
        <w:rPr>
          <w:b/>
          <w:bCs/>
        </w:rPr>
        <w:t>Credit Utilization Ratio</w:t>
      </w:r>
      <w:r w:rsidRPr="00AD0DE7">
        <w:t xml:space="preserve"> = Amount Outstanding ÷ Credit Limit, per district per year</w:t>
      </w:r>
    </w:p>
    <w:p w14:paraId="0E29C319" w14:textId="0F2101A8" w:rsidR="00AD0DE7" w:rsidRPr="00AD0DE7" w:rsidRDefault="00AD0DE7" w:rsidP="000E20B5">
      <w:pPr>
        <w:numPr>
          <w:ilvl w:val="0"/>
          <w:numId w:val="5"/>
        </w:numPr>
      </w:pPr>
      <w:r w:rsidRPr="00AD0DE7">
        <w:t>Queries covering: ranking (top/bottom N), state-level aggregation (GROUP BY), year-over-year growth (self-JOIN), within-state ranking (</w:t>
      </w:r>
      <w:proofErr w:type="gramStart"/>
      <w:r w:rsidRPr="00AD0DE7">
        <w:t>RANK(</w:t>
      </w:r>
      <w:proofErr w:type="gramEnd"/>
      <w:r w:rsidRPr="00AD0DE7">
        <w:t>) OVER PARTITION BY) and policy-flag filtering (based threshold logic)</w:t>
      </w:r>
    </w:p>
    <w:p w14:paraId="0E6E2F71" w14:textId="74B16073" w:rsidR="000E20B5" w:rsidRPr="000E20B5" w:rsidRDefault="00AD0DE7" w:rsidP="000E20B5">
      <w:pPr>
        <w:numPr>
          <w:ilvl w:val="0"/>
          <w:numId w:val="5"/>
        </w:numPr>
      </w:pPr>
      <w:r w:rsidRPr="00AD0DE7">
        <w:t xml:space="preserve">Full query set: </w:t>
      </w:r>
      <w:hyperlink r:id="rId6" w:history="1">
        <w:proofErr w:type="spellStart"/>
        <w:r w:rsidR="000E20B5" w:rsidRPr="000E20B5">
          <w:rPr>
            <w:rStyle w:val="Hyperlink"/>
          </w:rPr>
          <w:t>credit_analysis_queries.sql</w:t>
        </w:r>
        <w:proofErr w:type="spellEnd"/>
      </w:hyperlink>
    </w:p>
    <w:p w14:paraId="740C39F6" w14:textId="341EB75D" w:rsidR="000E20B5" w:rsidRDefault="000E20B5" w:rsidP="000E20B5">
      <w:pPr>
        <w:ind w:left="720"/>
      </w:pPr>
    </w:p>
    <w:p w14:paraId="518F4735" w14:textId="51EAEFC7" w:rsidR="00AD0DE7" w:rsidRPr="00AD0DE7" w:rsidRDefault="000E20B5" w:rsidP="000E4EF2">
      <w:pPr>
        <w:pStyle w:val="Heading3"/>
      </w:pPr>
      <w:r>
        <w:t xml:space="preserve">2) </w:t>
      </w:r>
      <w:r w:rsidR="00AD0DE7" w:rsidRPr="000E20B5">
        <w:t>Power BI</w:t>
      </w:r>
    </w:p>
    <w:p w14:paraId="00AB9B7E" w14:textId="77777777" w:rsidR="00AD0DE7" w:rsidRPr="00AD0DE7" w:rsidRDefault="00AD0DE7" w:rsidP="00AD0DE7">
      <w:pPr>
        <w:numPr>
          <w:ilvl w:val="0"/>
          <w:numId w:val="3"/>
        </w:numPr>
      </w:pPr>
      <w:r w:rsidRPr="00AD0DE7">
        <w:t>State-level utilization comparison (bar chart)</w:t>
      </w:r>
    </w:p>
    <w:p w14:paraId="5278DF14" w14:textId="77777777" w:rsidR="00AD0DE7" w:rsidRPr="00AD0DE7" w:rsidRDefault="00AD0DE7" w:rsidP="00AD0DE7">
      <w:pPr>
        <w:numPr>
          <w:ilvl w:val="0"/>
          <w:numId w:val="3"/>
        </w:numPr>
      </w:pPr>
      <w:r w:rsidRPr="00AD0DE7">
        <w:t>Choropleth-style map of average utilization by state</w:t>
      </w:r>
    </w:p>
    <w:p w14:paraId="0212E5DA" w14:textId="77777777" w:rsidR="00AD0DE7" w:rsidRPr="00AD0DE7" w:rsidRDefault="00AD0DE7" w:rsidP="00AD0DE7">
      <w:pPr>
        <w:numPr>
          <w:ilvl w:val="0"/>
          <w:numId w:val="3"/>
        </w:numPr>
      </w:pPr>
      <w:r w:rsidRPr="00AD0DE7">
        <w:t>Filterable table of "policy-flag" districts (high sanctioned credit, low utilization)</w:t>
      </w:r>
    </w:p>
    <w:p w14:paraId="2A088422" w14:textId="77777777" w:rsidR="00AD0DE7" w:rsidRPr="00AD0DE7" w:rsidRDefault="00AD0DE7" w:rsidP="00AD0DE7">
      <w:pPr>
        <w:numPr>
          <w:ilvl w:val="0"/>
          <w:numId w:val="3"/>
        </w:numPr>
      </w:pPr>
      <w:r w:rsidRPr="00AD0DE7">
        <w:t>Historical deposit growth trend, 2009-10 to 2017-18</w:t>
      </w:r>
    </w:p>
    <w:p w14:paraId="23C1DF14" w14:textId="54D6A1EB" w:rsidR="00AD0DE7" w:rsidRPr="00AD0DE7" w:rsidRDefault="00AD0DE7" w:rsidP="00AD0DE7">
      <w:pPr>
        <w:numPr>
          <w:ilvl w:val="0"/>
          <w:numId w:val="3"/>
        </w:numPr>
      </w:pPr>
      <w:r w:rsidRPr="00AD0DE7">
        <w:t xml:space="preserve">File: </w:t>
      </w:r>
      <w:hyperlink r:id="rId7" w:history="1">
        <w:r w:rsidR="000E20B5" w:rsidRPr="000E20B5">
          <w:rPr>
            <w:rStyle w:val="Hyperlink"/>
          </w:rPr>
          <w:t xml:space="preserve">rural credit </w:t>
        </w:r>
        <w:proofErr w:type="spellStart"/>
        <w:r w:rsidR="000E20B5" w:rsidRPr="000E20B5">
          <w:rPr>
            <w:rStyle w:val="Hyperlink"/>
          </w:rPr>
          <w:t>analysis.pbix</w:t>
        </w:r>
        <w:proofErr w:type="spellEnd"/>
      </w:hyperlink>
    </w:p>
    <w:p w14:paraId="5F97BAC3" w14:textId="77777777" w:rsidR="00AD0DE7" w:rsidRPr="00AD0DE7" w:rsidRDefault="00AD0DE7" w:rsidP="000E4EF2">
      <w:pPr>
        <w:pStyle w:val="Heading2"/>
      </w:pPr>
      <w:r w:rsidRPr="00AD0DE7">
        <w:t>Key findings</w:t>
      </w:r>
    </w:p>
    <w:p w14:paraId="5AE4A307" w14:textId="27000070" w:rsidR="00AD0DE7" w:rsidRPr="00AD0DE7" w:rsidRDefault="00AD0DE7" w:rsidP="00AD0DE7">
      <w:pPr>
        <w:numPr>
          <w:ilvl w:val="0"/>
          <w:numId w:val="4"/>
        </w:numPr>
      </w:pPr>
      <w:r w:rsidRPr="00AD0DE7">
        <w:t>All-India average credit utilization sits</w:t>
      </w:r>
      <w:r w:rsidR="000E20B5">
        <w:t xml:space="preserve"> at</w:t>
      </w:r>
      <w:r w:rsidRPr="00AD0DE7">
        <w:t xml:space="preserve"> </w:t>
      </w:r>
      <w:r w:rsidRPr="00AD0DE7">
        <w:rPr>
          <w:b/>
          <w:bCs/>
        </w:rPr>
        <w:t>0.74</w:t>
      </w:r>
      <w:r w:rsidRPr="00AD0DE7">
        <w:t>, meaning roughly a quarter of sanctioned rural/semi-urban credit goes undrawn on average.</w:t>
      </w:r>
    </w:p>
    <w:p w14:paraId="104F3BBB" w14:textId="45B13BAF" w:rsidR="00AD0DE7" w:rsidRPr="00AD0DE7" w:rsidRDefault="00AD0DE7" w:rsidP="00AD0DE7">
      <w:pPr>
        <w:numPr>
          <w:ilvl w:val="0"/>
          <w:numId w:val="4"/>
        </w:numPr>
      </w:pPr>
      <w:r w:rsidRPr="00AD0DE7">
        <w:rPr>
          <w:b/>
          <w:bCs/>
        </w:rPr>
        <w:t>Tamil Nadu and Puducherry</w:t>
      </w:r>
      <w:r w:rsidRPr="00AD0DE7">
        <w:t xml:space="preserve"> districts dominate the highest-utilization end</w:t>
      </w:r>
      <w:r w:rsidR="000E20B5">
        <w:t xml:space="preserve"> </w:t>
      </w:r>
      <w:r w:rsidRPr="00AD0DE7">
        <w:t>consistent with the state's long-standing strength in SHG-bank linkage programs.</w:t>
      </w:r>
    </w:p>
    <w:p w14:paraId="4AB335E5" w14:textId="1FE38716" w:rsidR="00AD0DE7" w:rsidRPr="00AD0DE7" w:rsidRDefault="000E20B5" w:rsidP="00AD0DE7">
      <w:pPr>
        <w:numPr>
          <w:ilvl w:val="0"/>
          <w:numId w:val="4"/>
        </w:numPr>
      </w:pPr>
      <w:r>
        <w:t xml:space="preserve">A </w:t>
      </w:r>
      <w:r w:rsidR="00AD0DE7" w:rsidRPr="00AD0DE7">
        <w:t xml:space="preserve">set of districts combine </w:t>
      </w:r>
      <w:r w:rsidR="00AD0DE7" w:rsidRPr="00AD0DE7">
        <w:rPr>
          <w:b/>
          <w:bCs/>
        </w:rPr>
        <w:t>above-average sanctioned credit limits with utilization below 0.6</w:t>
      </w:r>
      <w:r w:rsidR="00AD0DE7" w:rsidRPr="00AD0DE7">
        <w:t xml:space="preserve"> </w:t>
      </w:r>
      <w:r>
        <w:t>which</w:t>
      </w:r>
      <w:r w:rsidR="00AD0DE7" w:rsidRPr="00AD0DE7">
        <w:t xml:space="preserve"> are the strongest candidates for targeted disbursement </w:t>
      </w:r>
      <w:r>
        <w:t>and</w:t>
      </w:r>
      <w:r w:rsidR="00AD0DE7" w:rsidRPr="00AD0DE7">
        <w:t xml:space="preserve"> awareness interventions, since the credit infrastructure already exists but isn't being used.</w:t>
      </w:r>
    </w:p>
    <w:p w14:paraId="58277E89" w14:textId="585F72C4" w:rsidR="00AD0DE7" w:rsidRDefault="00AD0DE7" w:rsidP="00AD0DE7">
      <w:pPr>
        <w:numPr>
          <w:ilvl w:val="0"/>
          <w:numId w:val="4"/>
        </w:numPr>
      </w:pPr>
      <w:r w:rsidRPr="00AD0DE7">
        <w:t>All-India rural deposits showed sustained growth from 2009-10 to 2017-18, reflecting broader financial inclusion gains (Jan Dhan Yojana era) even before the credit-side data picks up in 2019.</w:t>
      </w:r>
      <w:r w:rsidR="00EE138D">
        <w:t xml:space="preserve"> The problem is not the lack of banking access or deposit accumulation but the absorption fiction that exists in the economy.</w:t>
      </w:r>
    </w:p>
    <w:p w14:paraId="27BEBA1B" w14:textId="6636165C" w:rsidR="00EE138D" w:rsidRPr="00AD0DE7" w:rsidRDefault="00EE138D" w:rsidP="00AD0DE7">
      <w:pPr>
        <w:numPr>
          <w:ilvl w:val="0"/>
          <w:numId w:val="4"/>
        </w:numPr>
      </w:pPr>
      <w:r>
        <w:t>The data also shows a North-South regional divergence where the southern states have more credit utilisation in contrast to the urban states. Also, the urban, highly industrialised areas have the lowest utilization rates.</w:t>
      </w:r>
    </w:p>
    <w:p w14:paraId="7E2E40A2" w14:textId="77777777" w:rsidR="00AD0DE7" w:rsidRPr="000E20B5" w:rsidRDefault="00AD0DE7" w:rsidP="000E4EF2">
      <w:pPr>
        <w:pStyle w:val="Heading2"/>
      </w:pPr>
      <w:r w:rsidRPr="000E20B5">
        <w:t>Policy recommendation</w:t>
      </w:r>
    </w:p>
    <w:p w14:paraId="45B9C3E9" w14:textId="77777777" w:rsidR="00127F25" w:rsidRDefault="00127F25" w:rsidP="00AD0DE7">
      <w:r>
        <w:t>The credit data in India shows the need of government to shift its vision from sanctioning of funds to their distribution.</w:t>
      </w:r>
    </w:p>
    <w:p w14:paraId="10F23E2F" w14:textId="0D02F691" w:rsidR="00AD0DE7" w:rsidRDefault="00EE138D" w:rsidP="00127F25">
      <w:pPr>
        <w:pStyle w:val="ListParagraph"/>
        <w:numPr>
          <w:ilvl w:val="0"/>
          <w:numId w:val="7"/>
        </w:numPr>
      </w:pPr>
      <w:r w:rsidRPr="000E4EF2">
        <w:rPr>
          <w:b/>
          <w:bCs/>
        </w:rPr>
        <w:t xml:space="preserve">Deepen SHG-Bank </w:t>
      </w:r>
      <w:proofErr w:type="gramStart"/>
      <w:r w:rsidRPr="000E4EF2">
        <w:rPr>
          <w:b/>
          <w:bCs/>
        </w:rPr>
        <w:t>links :</w:t>
      </w:r>
      <w:proofErr w:type="gramEnd"/>
      <w:r>
        <w:t xml:space="preserve"> The states in the south have achieved high credit utilisation with the help of SHGs. This model could be replicated in the northern areas. It would increase credit awareness, increase financial literacy and thus help in higher credit utilisation.</w:t>
      </w:r>
    </w:p>
    <w:p w14:paraId="7C566C7B" w14:textId="147178D0" w:rsidR="00EE138D" w:rsidRDefault="00EE138D" w:rsidP="00127F25">
      <w:pPr>
        <w:pStyle w:val="ListParagraph"/>
        <w:numPr>
          <w:ilvl w:val="0"/>
          <w:numId w:val="7"/>
        </w:numPr>
      </w:pPr>
      <w:r w:rsidRPr="000E4EF2">
        <w:rPr>
          <w:b/>
          <w:bCs/>
        </w:rPr>
        <w:t xml:space="preserve">Revival of </w:t>
      </w:r>
      <w:proofErr w:type="gramStart"/>
      <w:r w:rsidRPr="000E4EF2">
        <w:rPr>
          <w:b/>
          <w:bCs/>
        </w:rPr>
        <w:t>PACs :</w:t>
      </w:r>
      <w:proofErr w:type="gramEnd"/>
      <w:r>
        <w:t xml:space="preserve"> </w:t>
      </w:r>
      <w:r w:rsidR="00127F25">
        <w:t xml:space="preserve">The PACs in Haryana and Punjab needs </w:t>
      </w:r>
      <w:proofErr w:type="spellStart"/>
      <w:r w:rsidR="00127F25">
        <w:t>moderanisation</w:t>
      </w:r>
      <w:proofErr w:type="spellEnd"/>
      <w:r w:rsidR="00127F25">
        <w:t>. They are the backbone of the Indian agricultural credit and could prove to be of great assistance in helping the rural banks with credit distribution in the rural areas.</w:t>
      </w:r>
    </w:p>
    <w:p w14:paraId="35451936" w14:textId="26AED9AD" w:rsidR="00127F25" w:rsidRDefault="00127F25" w:rsidP="00127F25">
      <w:pPr>
        <w:pStyle w:val="ListParagraph"/>
        <w:numPr>
          <w:ilvl w:val="0"/>
          <w:numId w:val="7"/>
        </w:numPr>
      </w:pPr>
      <w:r>
        <w:lastRenderedPageBreak/>
        <w:t xml:space="preserve">The loans also could be sanctioned for </w:t>
      </w:r>
      <w:proofErr w:type="spellStart"/>
      <w:r>
        <w:t>agro</w:t>
      </w:r>
      <w:proofErr w:type="spellEnd"/>
      <w:r>
        <w:t>-processing and post-harvesting infrastructure funds. This would not only remove thee credit idle period but also help towards infrastructure increasing the income of the agricultural section in India.</w:t>
      </w:r>
    </w:p>
    <w:p w14:paraId="1FD256E1" w14:textId="77777777" w:rsidR="00127F25" w:rsidRPr="00AD0DE7" w:rsidRDefault="00127F25" w:rsidP="00127F25">
      <w:pPr>
        <w:pStyle w:val="ListParagraph"/>
      </w:pPr>
    </w:p>
    <w:p w14:paraId="1BDD027B" w14:textId="77777777" w:rsidR="00127F25" w:rsidRPr="00127F25" w:rsidRDefault="00AD0DE7" w:rsidP="00AD0DE7">
      <w:pPr>
        <w:rPr>
          <w:highlight w:val="yellow"/>
          <w:u w:val="single"/>
        </w:rPr>
      </w:pPr>
      <w:r w:rsidRPr="00127F25">
        <w:rPr>
          <w:highlight w:val="yellow"/>
          <w:u w:val="single"/>
        </w:rPr>
        <w:t xml:space="preserve">Shreya </w:t>
      </w:r>
    </w:p>
    <w:p w14:paraId="384852B6" w14:textId="35DA8996" w:rsidR="00AD0DE7" w:rsidRPr="00127F25" w:rsidRDefault="00AD0DE7" w:rsidP="00AD0DE7">
      <w:pPr>
        <w:rPr>
          <w:u w:val="single"/>
        </w:rPr>
      </w:pPr>
      <w:r w:rsidRPr="00127F25">
        <w:rPr>
          <w:highlight w:val="yellow"/>
          <w:u w:val="single"/>
        </w:rPr>
        <w:t xml:space="preserve"> MA Economics, Gokhale Institute of Politics and Economics.</w:t>
      </w:r>
    </w:p>
    <w:p w14:paraId="5060495D" w14:textId="77777777" w:rsidR="00AD0DE7" w:rsidRPr="00127F25" w:rsidRDefault="00AD0DE7">
      <w:pPr>
        <w:rPr>
          <w:u w:val="single"/>
        </w:rPr>
      </w:pPr>
    </w:p>
    <w:sectPr w:rsidR="00AD0DE7" w:rsidRPr="00127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E2527"/>
    <w:multiLevelType w:val="multilevel"/>
    <w:tmpl w:val="FD068A5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C22DB"/>
    <w:multiLevelType w:val="multilevel"/>
    <w:tmpl w:val="FD7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94C58"/>
    <w:multiLevelType w:val="multilevel"/>
    <w:tmpl w:val="FD7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514A2"/>
    <w:multiLevelType w:val="hybridMultilevel"/>
    <w:tmpl w:val="A6B4F348"/>
    <w:lvl w:ilvl="0" w:tplc="9846263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E621FC"/>
    <w:multiLevelType w:val="multilevel"/>
    <w:tmpl w:val="D23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30400"/>
    <w:multiLevelType w:val="multilevel"/>
    <w:tmpl w:val="418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1795C"/>
    <w:multiLevelType w:val="multilevel"/>
    <w:tmpl w:val="44C0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156807">
    <w:abstractNumId w:val="5"/>
  </w:num>
  <w:num w:numId="2" w16cid:durableId="469909743">
    <w:abstractNumId w:val="0"/>
  </w:num>
  <w:num w:numId="3" w16cid:durableId="1498419366">
    <w:abstractNumId w:val="4"/>
  </w:num>
  <w:num w:numId="4" w16cid:durableId="2051805777">
    <w:abstractNumId w:val="6"/>
  </w:num>
  <w:num w:numId="5" w16cid:durableId="1893955728">
    <w:abstractNumId w:val="1"/>
  </w:num>
  <w:num w:numId="6" w16cid:durableId="419985514">
    <w:abstractNumId w:val="3"/>
  </w:num>
  <w:num w:numId="7" w16cid:durableId="186678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DE7"/>
    <w:rsid w:val="000173DC"/>
    <w:rsid w:val="000E20B5"/>
    <w:rsid w:val="000E4EF2"/>
    <w:rsid w:val="00127F25"/>
    <w:rsid w:val="00337C75"/>
    <w:rsid w:val="004C4754"/>
    <w:rsid w:val="005E7385"/>
    <w:rsid w:val="00AD0DE7"/>
    <w:rsid w:val="00EE1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BE8D"/>
  <w15:chartTrackingRefBased/>
  <w15:docId w15:val="{9DC635FA-6AA9-4615-A6CB-3D67E110D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0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DE7"/>
    <w:rPr>
      <w:rFonts w:eastAsiaTheme="majorEastAsia" w:cstheme="majorBidi"/>
      <w:color w:val="272727" w:themeColor="text1" w:themeTint="D8"/>
    </w:rPr>
  </w:style>
  <w:style w:type="paragraph" w:styleId="Title">
    <w:name w:val="Title"/>
    <w:basedOn w:val="Normal"/>
    <w:next w:val="Normal"/>
    <w:link w:val="TitleChar"/>
    <w:uiPriority w:val="10"/>
    <w:qFormat/>
    <w:rsid w:val="00AD0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DE7"/>
    <w:pPr>
      <w:spacing w:before="160"/>
      <w:jc w:val="center"/>
    </w:pPr>
    <w:rPr>
      <w:i/>
      <w:iCs/>
      <w:color w:val="404040" w:themeColor="text1" w:themeTint="BF"/>
    </w:rPr>
  </w:style>
  <w:style w:type="character" w:customStyle="1" w:styleId="QuoteChar">
    <w:name w:val="Quote Char"/>
    <w:basedOn w:val="DefaultParagraphFont"/>
    <w:link w:val="Quote"/>
    <w:uiPriority w:val="29"/>
    <w:rsid w:val="00AD0DE7"/>
    <w:rPr>
      <w:i/>
      <w:iCs/>
      <w:color w:val="404040" w:themeColor="text1" w:themeTint="BF"/>
    </w:rPr>
  </w:style>
  <w:style w:type="paragraph" w:styleId="ListParagraph">
    <w:name w:val="List Paragraph"/>
    <w:basedOn w:val="Normal"/>
    <w:uiPriority w:val="34"/>
    <w:qFormat/>
    <w:rsid w:val="00AD0DE7"/>
    <w:pPr>
      <w:ind w:left="720"/>
      <w:contextualSpacing/>
    </w:pPr>
  </w:style>
  <w:style w:type="character" w:styleId="IntenseEmphasis">
    <w:name w:val="Intense Emphasis"/>
    <w:basedOn w:val="DefaultParagraphFont"/>
    <w:uiPriority w:val="21"/>
    <w:qFormat/>
    <w:rsid w:val="00AD0DE7"/>
    <w:rPr>
      <w:i/>
      <w:iCs/>
      <w:color w:val="0F4761" w:themeColor="accent1" w:themeShade="BF"/>
    </w:rPr>
  </w:style>
  <w:style w:type="paragraph" w:styleId="IntenseQuote">
    <w:name w:val="Intense Quote"/>
    <w:basedOn w:val="Normal"/>
    <w:next w:val="Normal"/>
    <w:link w:val="IntenseQuoteChar"/>
    <w:uiPriority w:val="30"/>
    <w:qFormat/>
    <w:rsid w:val="00AD0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DE7"/>
    <w:rPr>
      <w:i/>
      <w:iCs/>
      <w:color w:val="0F4761" w:themeColor="accent1" w:themeShade="BF"/>
    </w:rPr>
  </w:style>
  <w:style w:type="character" w:styleId="IntenseReference">
    <w:name w:val="Intense Reference"/>
    <w:basedOn w:val="DefaultParagraphFont"/>
    <w:uiPriority w:val="32"/>
    <w:qFormat/>
    <w:rsid w:val="00AD0DE7"/>
    <w:rPr>
      <w:b/>
      <w:bCs/>
      <w:smallCaps/>
      <w:color w:val="0F4761" w:themeColor="accent1" w:themeShade="BF"/>
      <w:spacing w:val="5"/>
    </w:rPr>
  </w:style>
  <w:style w:type="character" w:styleId="Hyperlink">
    <w:name w:val="Hyperlink"/>
    <w:basedOn w:val="DefaultParagraphFont"/>
    <w:uiPriority w:val="99"/>
    <w:unhideWhenUsed/>
    <w:rsid w:val="00AD0DE7"/>
    <w:rPr>
      <w:color w:val="467886" w:themeColor="hyperlink"/>
      <w:u w:val="single"/>
    </w:rPr>
  </w:style>
  <w:style w:type="character" w:styleId="UnresolvedMention">
    <w:name w:val="Unresolved Mention"/>
    <w:basedOn w:val="DefaultParagraphFont"/>
    <w:uiPriority w:val="99"/>
    <w:semiHidden/>
    <w:unhideWhenUsed/>
    <w:rsid w:val="00AD0D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1drv.ms/u/c/06EAC48681BF460D/IQCCZXLUMmxRSKWRjG_XB_TSAa7nmLa6CN3CePNjq3lPdqA?e=h5dCi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drv.ms/u/c/06EAC48681BF460D/IQAITzwTM49oQbXQ_fw3_-xMAVzBDsrnEoDFm-NBmBO8ERg?e=5NoaSF" TargetMode="External"/><Relationship Id="rId5" Type="http://schemas.openxmlformats.org/officeDocument/2006/relationships/hyperlink" Target="https://data.rbi.org.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Dagar</dc:creator>
  <cp:keywords/>
  <dc:description/>
  <cp:lastModifiedBy>Shreya Dagar</cp:lastModifiedBy>
  <cp:revision>3</cp:revision>
  <dcterms:created xsi:type="dcterms:W3CDTF">2026-08-27T16:50:00Z</dcterms:created>
  <dcterms:modified xsi:type="dcterms:W3CDTF">2026-08-27T17:41:00Z</dcterms:modified>
</cp:coreProperties>
</file>