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RENTROLLDATE The date the unit-resident entry represents. Every unit will have at least one row per date. Units containing N residents on a given date will have N rows on that date.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FACILITYID The internal ALVIN database unique identifier for the facility UNITNUMBER The number on the physical door of the unit.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UNITREFLECTIONS n/y enum representing whether this unit is Memory Care or not Note – a unit that is neither Reflections nor Independent is therefore AL UNITSERENADE n/y enum representing whether this unit is part of our luxury Serenade program or not UNITINDEPENDENT n/y enum representing whether this unit is Independent Living. Note – a unit that is neither Reflections nor Independent is therefore AL To Determine Segment: “If the UNITINDEPENDENT field is set to "y" then the service is Independent. If the UNITREFLECTIONS field is set to "Y" then the service is memory care (we refer to our memory care product as "Reflections"). If UNITREFLECTIONS and UNITINDEPENDENT are both set to "n" then the service is AL UNITCLASS A text descriptor of the physical layout of the room (eg Studio, 1 Bedroom, 2 Bedroom) RESIDENTID The internal ALVIN database unique identifier of the resident Note: Whenever a unit has no number in the RESIDENTID column, that unit is vacant for that RENTROLLDATE 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ADMISSIONDATE The date the resident was admitted. Note this is not necessarily the date they moved into the unit represented by UNITNUMBER since sometimes residents move around. Moving around does not change their ADMISSIONDATE.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DISCHARGEDATE The date the resident was scheduled to be discharged, whether they were actually discharged or not DISCHARGED n/y enum representing whether the resident was actually discharged or not NOTE for DISCHARGEDATE &amp; DISCHARGED: Data Refreshes eh last 45 days. If a person decides to leave and puts a date in as discharged, the previous 45 days will update to that date. Perhaps a better way to note the discharge date is the date the person was removed from the rent roll.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SHORTTERMSTAY Either trial, respite, or N/A if not a short term stay ROOMBOARDRATEPERIOD The billing period for the resident Room and Board. Either daily or monthly.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SERVICELEVELRATEPERIOD The billing period for the resident Service Levels. Either daily or monthly.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MEDADMINRATEPERIOD The billing period for the resident Medication Administration. Either daily or monthly.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RATECODE The internal symbol to indicate rate locking rules and in some cases payor rules.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OCCUPANCYTYPE Indicates whether the resident in the unit is an individual, part of a couple, or partner with someone else as a semi-private - Note someone who is marked as an Individual takes up the entire unit. Someone marked as either Couple or Semi-Private take up half of the unit. Meaning half of the unit is still rentable unless there is another person flagged as couple or semi-private taking up the other half of the unit. When a unit has a number in the RESIDENTID column, then the occupancy on that unit is calculated as such: If the OCCUPANCYTYPE column shows Individual, then the resident is taking 100% of the unit. If the OCCUPANCYTYPE column shows either couple or semi-private then the resident is taking 50% of the unit. If there is another resident also in that unit taking up the other 50%, then the unit is fully occupied. Otherwise, it is only half occupied. PAYOR Indicates the payor type, typically either Private or Medicaid.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ROOMBOARDRATE The amount the resident is charged for Room &amp; Board on that rent roll date SERVICELEVELRATE The amount the resident is charged for Service Levels on that rent roll date MEDADMINRATE The amount the resident is charged for Medication Administration on that rent roll date ROOMBOARDMARKETRATE The street rate for room and board for this particular unit type (unit type is not currently included in the data set. These are branded terms such as “The Pierre” or “The Carlyle” SERVICELEVELMARKETRATE The street rate for service level for the resident MEDADMINMARKETRATE The street rate for Medication Administration for the resident</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