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color w:val="2E5090"/>
          <w:sz w:val="48"/>
          <w:szCs w:val="48"/>
        </w:rPr>
        <w:t xml:space="preserve">Comparativa de Notebooks</w:t>
      </w:r>
    </w:p>
    <w:p>
      <w:pPr>
        <w:spacing w:after="80" w:before="0"/>
        <w:jc w:val="center"/>
      </w:pPr>
      <w:r>
        <w:rPr>
          <w:rFonts w:ascii="Arial" w:cs="Arial" w:eastAsia="Arial" w:hAnsi="Arial"/>
          <w:color w:val="555555"/>
          <w:sz w:val="28"/>
          <w:szCs w:val="28"/>
        </w:rPr>
        <w:t xml:space="preserve">Notebook_carga_de_movimientos</w:t>
      </w:r>
    </w:p>
    <w:p>
      <w:pPr>
        <w:spacing w:after="400" w:before="0"/>
        <w:jc w:val="center"/>
      </w:pPr>
      <w:r>
        <w:rPr>
          <w:rFonts w:ascii="Arial" w:cs="Arial" w:eastAsia="Arial" w:hAnsi="Arial"/>
          <w:color w:val="777777"/>
          <w:sz w:val="22"/>
          <w:szCs w:val="22"/>
        </w:rPr>
        <w:t xml:space="preserve">v5 (anterior)  →  v6 (nuevo)     |     Fecha: </w:t>
      </w:r>
      <w:r>
        <w:rPr>
          <w:rFonts w:ascii="Arial" w:cs="Arial" w:eastAsia="Arial" w:hAnsi="Arial"/>
          <w:b/>
          <w:bCs/>
          <w:color w:val="777777"/>
          <w:sz w:val="22"/>
          <w:szCs w:val="22"/>
        </w:rPr>
        <w:t xml:space="preserve">07/04/2026</w:t>
      </w:r>
    </w:p>
    <w:p>
      <w:pPr>
        <w:pStyle w:val="Heading1"/>
        <w:spacing w:after="160" w:before="320"/>
      </w:pPr>
      <w:r>
        <w:rPr>
          <w:rFonts w:ascii="Arial" w:cs="Arial" w:eastAsia="Arial" w:hAnsi="Arial"/>
          <w:b/>
          <w:bCs/>
          <w:color w:val="2E5090"/>
          <w:sz w:val="32"/>
          <w:szCs w:val="32"/>
        </w:rPr>
        <w:t xml:space="preserve">1. Resumen ejecutivo</w:t>
      </w:r>
    </w:p>
    <w:p>
      <w:pPr>
        <w:spacing w:after="80" w:before="80"/>
      </w:pPr>
      <w:r>
        <w:rPr>
          <w:rFonts w:ascii="Arial" w:cs="Arial" w:eastAsia="Arial" w:hAnsi="Arial"/>
          <w:sz w:val="22"/>
          <w:szCs w:val="22"/>
        </w:rPr>
        <w:t xml:space="preserve">Se han identificado 5 celdas con cambios entre la versión 5 y la versión 6 del notebook. El número total de celdas se mantiene en 23. A continuación se muestra una tabla con todos los cambios detectados.</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Celda</w:t>
            </w:r>
          </w:p>
        </w:tc>
        <w:tc>
          <w:tcPr>
            <w:tcW w:type="dxa" w:w="2400"/>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Tipo de cambio</w:t>
            </w:r>
          </w:p>
        </w:tc>
        <w:tc>
          <w:tcPr>
            <w:tcW w:type="dxa" w:w="5760"/>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20"/>
                <w:szCs w:val="20"/>
              </w:rPr>
              <w:t xml:space="preserve">Celda 3</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Configuración</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Cambio de la institución activa: de 'abanca' a 'bankinter'</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20"/>
                <w:szCs w:val="20"/>
              </w:rPr>
              <w:t xml:space="preserve">Celda 13</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Diccionario entities</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Cambio en el rename de 'bankinter': 'num_cuenta' sustituido por 'id_soli_sancion' para mapear externalUserId</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20"/>
                <w:szCs w:val="20"/>
              </w:rPr>
              <w:t xml:space="preserve">Celda 14</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Función preprocessDS</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parse_date_col ahora envuelve el resultado en pd.to_datetime(); las asignaciones de fecha usan sintaxis df[col] en lugar de df.loc[:,col]</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20"/>
                <w:szCs w:val="20"/>
              </w:rPr>
              <w:t xml:space="preserve">Celda 16</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Validación de schema</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Se añade el conjunto future_columns (cat/mer/cat_rev/mer_rev schemas) para excluirlas de invalid_columns y evitar falsos positivos</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20"/>
                <w:szCs w:val="20"/>
              </w:rPr>
              <w:t xml:space="preserve">Celda 18</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Filtro categorización</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El trigger set para cargar CATEGORIZATION se reduce: se eliminan 'type', 'method' del set de columnas requeridas</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20"/>
                <w:szCs w:val="20"/>
              </w:rPr>
              <w:t xml:space="preserve">Celda 20</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Filtro merchant</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El trigger set para cargar MERCHANT se simplifica: de 15 columnas a solo {'merchantName', 'legalName'}</w:t>
            </w:r>
          </w:p>
        </w:tc>
      </w:tr>
    </w:tbl>
    <w:p>
      <w:pPr>
        <w:spacing w:after="0" w:before="280"/>
      </w:pPr>
    </w:p>
    <w:p>
      <w:pPr>
        <w:pStyle w:val="Heading1"/>
        <w:spacing w:after="160" w:before="320"/>
      </w:pPr>
      <w:r>
        <w:rPr>
          <w:rFonts w:ascii="Arial" w:cs="Arial" w:eastAsia="Arial" w:hAnsi="Arial"/>
          <w:b/>
          <w:bCs/>
          <w:color w:val="2E5090"/>
          <w:sz w:val="32"/>
          <w:szCs w:val="32"/>
        </w:rPr>
        <w:t xml:space="preserve">2. Detalle de los cambios</w:t>
      </w:r>
    </w:p>
    <w:p>
      <w:pPr>
        <w:pStyle w:val="Heading2"/>
        <w:spacing w:after="120" w:before="240"/>
      </w:pPr>
      <w:r>
        <w:rPr>
          <w:rFonts w:ascii="Arial" w:cs="Arial" w:eastAsia="Arial" w:hAnsi="Arial"/>
          <w:b/>
          <w:bCs/>
          <w:color w:val="444444"/>
          <w:sz w:val="26"/>
          <w:szCs w:val="26"/>
        </w:rPr>
        <w:t xml:space="preserve">2.1  Celda 3 — Institución activa (current_institution)</w:t>
      </w:r>
    </w:p>
    <w:p>
      <w:pPr>
        <w:spacing w:after="80" w:before="80"/>
      </w:pPr>
      <w:r>
        <w:rPr>
          <w:rFonts w:ascii="Arial" w:cs="Arial" w:eastAsia="Arial" w:hAnsi="Arial"/>
          <w:sz w:val="22"/>
          <w:szCs w:val="22"/>
        </w:rPr>
        <w:t xml:space="preserve">Cambio mínimo: se actualiza el valor de la variable que define qué entidad se procesa en la ejecución actual del notebook.</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9360"/>
            <w:gridSpan w:val="3"/>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color w:val="2E5090"/>
                <w:sz w:val="22"/>
                <w:szCs w:val="22"/>
              </w:rPr>
              <w:t xml:space="preserve">Celda 3 — current_institution</w:t>
            </w:r>
          </w:p>
        </w:tc>
      </w:tr>
      <w:tr>
        <w:tc>
          <w:tcPr>
            <w:tcW w:type="dxa" w:w="2200"/>
            <w:tcBorders>
              <w:top w:val="single" w:color="BBBBBB" w:sz="1"/>
              <w:left w:val="single" w:color="BBBBBB" w:sz="1"/>
              <w:bottom w:val="single" w:color="BBBBBB" w:sz="1"/>
              <w:right w:val="single" w:color="BBBBBB"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Campo</w:t>
            </w:r>
          </w:p>
        </w:tc>
        <w:tc>
          <w:tcPr>
            <w:tcW w:type="dxa" w:w="3580"/>
            <w:tcBorders>
              <w:top w:val="single" w:color="BBBBBB" w:sz="1"/>
              <w:left w:val="single" w:color="BBBBBB" w:sz="1"/>
              <w:bottom w:val="single" w:color="BBBBBB" w:sz="1"/>
              <w:right w:val="single" w:color="BBBBBB"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v5 (anterior)</w:t>
            </w:r>
          </w:p>
        </w:tc>
        <w:tc>
          <w:tcPr>
            <w:tcW w:type="dxa" w:w="3580"/>
            <w:tcBorders>
              <w:top w:val="single" w:color="BBBBBB" w:sz="1"/>
              <w:left w:val="single" w:color="BBBBBB" w:sz="1"/>
              <w:bottom w:val="single" w:color="BBBBBB" w:sz="1"/>
              <w:right w:val="single" w:color="BBBBBB"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v6 (nuevo)</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20"/>
                <w:szCs w:val="20"/>
              </w:rPr>
              <w:t xml:space="preserve">Variable</w:t>
            </w:r>
          </w:p>
        </w:tc>
        <w:tc>
          <w:tcPr>
            <w:tcW w:type="dxa" w:w="3580"/>
            <w:tcBorders>
              <w:top w:val="single" w:color="BBBBBB" w:sz="1"/>
              <w:left w:val="single" w:color="BBBBBB" w:sz="1"/>
              <w:bottom w:val="single" w:color="BBBBBB" w:sz="1"/>
              <w:right w:val="single" w:color="BBBBBB" w:sz="1"/>
            </w:tcBorders>
            <w:shd w:fill="FAD7D7" w:val="clear"/>
            <w:tcMar>
              <w:top w:type="dxa" w:w="60"/>
              <w:left w:type="dxa" w:w="120"/>
              <w:bottom w:type="dxa" w:w="60"/>
              <w:right w:type="dxa" w:w="120"/>
            </w:tcMar>
          </w:tcPr>
          <w:p>
            <w:r>
              <w:rPr>
                <w:rFonts w:ascii="Courier New" w:cs="Courier New" w:eastAsia="Courier New" w:hAnsi="Courier New"/>
                <w:color w:val="8B0000"/>
                <w:sz w:val="18"/>
                <w:szCs w:val="18"/>
              </w:rPr>
              <w:t xml:space="preserve">current_institution = "abanca"</w:t>
            </w:r>
          </w:p>
        </w:tc>
        <w:tc>
          <w:tcPr>
            <w:tcW w:type="dxa" w:w="3580"/>
            <w:tcBorders>
              <w:top w:val="single" w:color="BBBBBB" w:sz="1"/>
              <w:left w:val="single" w:color="BBBBBB" w:sz="1"/>
              <w:bottom w:val="single" w:color="BBBBBB" w:sz="1"/>
              <w:right w:val="single" w:color="BBBBBB" w:sz="1"/>
            </w:tcBorders>
            <w:shd w:fill="D6F0D6" w:val="clear"/>
            <w:tcMar>
              <w:top w:type="dxa" w:w="60"/>
              <w:left w:type="dxa" w:w="120"/>
              <w:bottom w:type="dxa" w:w="60"/>
              <w:right w:type="dxa" w:w="120"/>
            </w:tcMar>
          </w:tcPr>
          <w:p>
            <w:r>
              <w:rPr>
                <w:rFonts w:ascii="Courier New" w:cs="Courier New" w:eastAsia="Courier New" w:hAnsi="Courier New"/>
                <w:color w:val="1B5E20"/>
                <w:sz w:val="18"/>
                <w:szCs w:val="18"/>
              </w:rPr>
              <w:t xml:space="preserve">current_institution = "bankinter"</w:t>
            </w:r>
          </w:p>
        </w:tc>
      </w:tr>
    </w:tbl>
    <w:p>
      <w:pPr>
        <w:spacing w:after="0" w:before="280"/>
      </w:pPr>
    </w:p>
    <w:p>
      <w:pPr>
        <w:pStyle w:val="Heading2"/>
        <w:spacing w:after="120" w:before="240"/>
      </w:pPr>
      <w:r>
        <w:rPr>
          <w:rFonts w:ascii="Arial" w:cs="Arial" w:eastAsia="Arial" w:hAnsi="Arial"/>
          <w:b/>
          <w:bCs/>
          <w:color w:val="444444"/>
          <w:sz w:val="26"/>
          <w:szCs w:val="26"/>
        </w:rPr>
        <w:t xml:space="preserve">2.2  Celda 13 — Diccionario entities: entrada 'bankinter'</w:t>
      </w:r>
    </w:p>
    <w:p>
      <w:pPr>
        <w:spacing w:after="80" w:before="80"/>
      </w:pPr>
      <w:r>
        <w:rPr>
          <w:rFonts w:ascii="Arial" w:cs="Arial" w:eastAsia="Arial" w:hAnsi="Arial"/>
          <w:sz w:val="22"/>
          <w:szCs w:val="22"/>
        </w:rPr>
        <w:t xml:space="preserve">Dentro del bloque de la entidad bankinter, se modifica la clave del rename que mapea el identificador de usuario externo.</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9360"/>
            <w:gridSpan w:val="3"/>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color w:val="2E5090"/>
                <w:sz w:val="22"/>
                <w:szCs w:val="22"/>
              </w:rPr>
              <w:t xml:space="preserve">Celda 13 — entities['bankinter']['rename']</w:t>
            </w:r>
          </w:p>
        </w:tc>
      </w:tr>
      <w:tr>
        <w:tc>
          <w:tcPr>
            <w:tcW w:type="dxa" w:w="2200"/>
            <w:tcBorders>
              <w:top w:val="single" w:color="BBBBBB" w:sz="1"/>
              <w:left w:val="single" w:color="BBBBBB" w:sz="1"/>
              <w:bottom w:val="single" w:color="BBBBBB" w:sz="1"/>
              <w:right w:val="single" w:color="BBBBBB"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Campo</w:t>
            </w:r>
          </w:p>
        </w:tc>
        <w:tc>
          <w:tcPr>
            <w:tcW w:type="dxa" w:w="3580"/>
            <w:tcBorders>
              <w:top w:val="single" w:color="BBBBBB" w:sz="1"/>
              <w:left w:val="single" w:color="BBBBBB" w:sz="1"/>
              <w:bottom w:val="single" w:color="BBBBBB" w:sz="1"/>
              <w:right w:val="single" w:color="BBBBBB"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v5 (anterior)</w:t>
            </w:r>
          </w:p>
        </w:tc>
        <w:tc>
          <w:tcPr>
            <w:tcW w:type="dxa" w:w="3580"/>
            <w:tcBorders>
              <w:top w:val="single" w:color="BBBBBB" w:sz="1"/>
              <w:left w:val="single" w:color="BBBBBB" w:sz="1"/>
              <w:bottom w:val="single" w:color="BBBBBB" w:sz="1"/>
              <w:right w:val="single" w:color="BBBBBB"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v6 (nuevo)</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20"/>
                <w:szCs w:val="20"/>
              </w:rPr>
              <w:t xml:space="preserve">Clave rename para externalUserId</w:t>
            </w:r>
          </w:p>
        </w:tc>
        <w:tc>
          <w:tcPr>
            <w:tcW w:type="dxa" w:w="3580"/>
            <w:tcBorders>
              <w:top w:val="single" w:color="BBBBBB" w:sz="1"/>
              <w:left w:val="single" w:color="BBBBBB" w:sz="1"/>
              <w:bottom w:val="single" w:color="BBBBBB" w:sz="1"/>
              <w:right w:val="single" w:color="BBBBBB" w:sz="1"/>
            </w:tcBorders>
            <w:shd w:fill="FAD7D7" w:val="clear"/>
            <w:tcMar>
              <w:top w:type="dxa" w:w="60"/>
              <w:left w:type="dxa" w:w="120"/>
              <w:bottom w:type="dxa" w:w="60"/>
              <w:right w:type="dxa" w:w="120"/>
            </w:tcMar>
          </w:tcPr>
          <w:p>
            <w:r>
              <w:rPr>
                <w:rFonts w:ascii="Courier New" w:cs="Courier New" w:eastAsia="Courier New" w:hAnsi="Courier New"/>
                <w:color w:val="8B0000"/>
                <w:sz w:val="18"/>
                <w:szCs w:val="18"/>
              </w:rPr>
              <w:t xml:space="preserve">'num_cuenta': 'externalUserId'</w:t>
            </w:r>
          </w:p>
        </w:tc>
        <w:tc>
          <w:tcPr>
            <w:tcW w:type="dxa" w:w="3580"/>
            <w:tcBorders>
              <w:top w:val="single" w:color="BBBBBB" w:sz="1"/>
              <w:left w:val="single" w:color="BBBBBB" w:sz="1"/>
              <w:bottom w:val="single" w:color="BBBBBB" w:sz="1"/>
              <w:right w:val="single" w:color="BBBBBB" w:sz="1"/>
            </w:tcBorders>
            <w:shd w:fill="D6F0D6" w:val="clear"/>
            <w:tcMar>
              <w:top w:type="dxa" w:w="60"/>
              <w:left w:type="dxa" w:w="120"/>
              <w:bottom w:type="dxa" w:w="60"/>
              <w:right w:type="dxa" w:w="120"/>
            </w:tcMar>
          </w:tcPr>
          <w:p>
            <w:r>
              <w:rPr>
                <w:rFonts w:ascii="Courier New" w:cs="Courier New" w:eastAsia="Courier New" w:hAnsi="Courier New"/>
                <w:color w:val="1B5E20"/>
                <w:sz w:val="18"/>
                <w:szCs w:val="18"/>
              </w:rPr>
              <w:t xml:space="preserve">'id_soli_sancion': 'externalUserId'</w:t>
            </w:r>
          </w:p>
        </w:tc>
      </w:tr>
    </w:tbl>
    <w:p>
      <w:pPr>
        <w:spacing w:after="80" w:before="80"/>
      </w:pPr>
      <w:r>
        <w:rPr>
          <w:rFonts w:ascii="Arial" w:cs="Arial" w:eastAsia="Arial" w:hAnsi="Arial"/>
          <w:i/>
          <w:iCs/>
          <w:color w:val="555555"/>
          <w:sz w:val="22"/>
          <w:szCs w:val="22"/>
        </w:rPr>
        <w:t xml:space="preserve">Implicación: el nombre de la columna fuente en el CSV de Bankinter ha cambiado de num_cuenta a id_soli_sancion. El resto de campos del rename (num_transaccion, operationdate, fechadato) no varían.</w:t>
      </w:r>
    </w:p>
    <w:p>
      <w:pPr>
        <w:spacing w:after="0" w:before="280"/>
      </w:pPr>
    </w:p>
    <w:p>
      <w:pPr>
        <w:pStyle w:val="Heading2"/>
        <w:spacing w:after="120" w:before="240"/>
      </w:pPr>
      <w:r>
        <w:rPr>
          <w:rFonts w:ascii="Arial" w:cs="Arial" w:eastAsia="Arial" w:hAnsi="Arial"/>
          <w:b/>
          <w:bCs/>
          <w:color w:val="444444"/>
          <w:sz w:val="26"/>
          <w:szCs w:val="26"/>
        </w:rPr>
        <w:t xml:space="preserve">2.3  Celda 14 — Función preprocessDS: parseo de fechas</w:t>
      </w:r>
    </w:p>
    <w:p>
      <w:pPr>
        <w:spacing w:after="80" w:before="80"/>
      </w:pPr>
      <w:r>
        <w:rPr>
          <w:rFonts w:ascii="Arial" w:cs="Arial" w:eastAsia="Arial" w:hAnsi="Arial"/>
          <w:sz w:val="22"/>
          <w:szCs w:val="22"/>
        </w:rPr>
        <w:t xml:space="preserve">Dos cambios relacionados con cómo se procesan las fechas una vez convertidas de string a date: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9360"/>
            <w:gridSpan w:val="3"/>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color w:val="2E5090"/>
                <w:sz w:val="22"/>
                <w:szCs w:val="22"/>
              </w:rPr>
              <w:t xml:space="preserve">Celda 14 — función parse_date_col y asignación</w:t>
            </w:r>
          </w:p>
        </w:tc>
      </w:tr>
      <w:tr>
        <w:tc>
          <w:tcPr>
            <w:tcW w:type="dxa" w:w="2200"/>
            <w:tcBorders>
              <w:top w:val="single" w:color="BBBBBB" w:sz="1"/>
              <w:left w:val="single" w:color="BBBBBB" w:sz="1"/>
              <w:bottom w:val="single" w:color="BBBBBB" w:sz="1"/>
              <w:right w:val="single" w:color="BBBBBB"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Campo</w:t>
            </w:r>
          </w:p>
        </w:tc>
        <w:tc>
          <w:tcPr>
            <w:tcW w:type="dxa" w:w="3580"/>
            <w:tcBorders>
              <w:top w:val="single" w:color="BBBBBB" w:sz="1"/>
              <w:left w:val="single" w:color="BBBBBB" w:sz="1"/>
              <w:bottom w:val="single" w:color="BBBBBB" w:sz="1"/>
              <w:right w:val="single" w:color="BBBBBB"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v5 (anterior)</w:t>
            </w:r>
          </w:p>
        </w:tc>
        <w:tc>
          <w:tcPr>
            <w:tcW w:type="dxa" w:w="3580"/>
            <w:tcBorders>
              <w:top w:val="single" w:color="BBBBBB" w:sz="1"/>
              <w:left w:val="single" w:color="BBBBBB" w:sz="1"/>
              <w:bottom w:val="single" w:color="BBBBBB" w:sz="1"/>
              <w:right w:val="single" w:color="BBBBBB"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v6 (nuevo)</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20"/>
                <w:szCs w:val="20"/>
              </w:rPr>
              <w:t xml:space="preserve">Retorno de parse_date_col</w:t>
            </w:r>
          </w:p>
        </w:tc>
        <w:tc>
          <w:tcPr>
            <w:tcW w:type="dxa" w:w="3580"/>
            <w:tcBorders>
              <w:top w:val="single" w:color="BBBBBB" w:sz="1"/>
              <w:left w:val="single" w:color="BBBBBB" w:sz="1"/>
              <w:bottom w:val="single" w:color="BBBBBB" w:sz="1"/>
              <w:right w:val="single" w:color="BBBBBB" w:sz="1"/>
            </w:tcBorders>
            <w:shd w:fill="FAD7D7" w:val="clear"/>
            <w:tcMar>
              <w:top w:type="dxa" w:w="60"/>
              <w:left w:type="dxa" w:w="120"/>
              <w:bottom w:type="dxa" w:w="60"/>
              <w:right w:type="dxa" w:w="120"/>
            </w:tcMar>
          </w:tcPr>
          <w:p>
            <w:r>
              <w:rPr>
                <w:rFonts w:ascii="Courier New" w:cs="Courier New" w:eastAsia="Courier New" w:hAnsi="Courier New"/>
                <w:color w:val="8B0000"/>
                <w:sz w:val="18"/>
                <w:szCs w:val="18"/>
              </w:rPr>
              <w:t xml:space="preserve">return [datetime.strptime(...) for d in series]</w:t>
            </w:r>
          </w:p>
        </w:tc>
        <w:tc>
          <w:tcPr>
            <w:tcW w:type="dxa" w:w="3580"/>
            <w:tcBorders>
              <w:top w:val="single" w:color="BBBBBB" w:sz="1"/>
              <w:left w:val="single" w:color="BBBBBB" w:sz="1"/>
              <w:bottom w:val="single" w:color="BBBBBB" w:sz="1"/>
              <w:right w:val="single" w:color="BBBBBB" w:sz="1"/>
            </w:tcBorders>
            <w:shd w:fill="D6F0D6" w:val="clear"/>
            <w:tcMar>
              <w:top w:type="dxa" w:w="60"/>
              <w:left w:type="dxa" w:w="120"/>
              <w:bottom w:type="dxa" w:w="60"/>
              <w:right w:type="dxa" w:w="120"/>
            </w:tcMar>
          </w:tcPr>
          <w:p>
            <w:r>
              <w:rPr>
                <w:rFonts w:ascii="Courier New" w:cs="Courier New" w:eastAsia="Courier New" w:hAnsi="Courier New"/>
                <w:color w:val="1B5E20"/>
                <w:sz w:val="18"/>
                <w:szCs w:val="18"/>
              </w:rPr>
              <w:t xml:space="preserve">return pd.to_datetime([datetime.strptime(...) for d in series])</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20"/>
                <w:szCs w:val="20"/>
              </w:rPr>
              <w:t xml:space="preserve">Asignación accountingDate</w:t>
            </w:r>
          </w:p>
        </w:tc>
        <w:tc>
          <w:tcPr>
            <w:tcW w:type="dxa" w:w="3580"/>
            <w:tcBorders>
              <w:top w:val="single" w:color="BBBBBB" w:sz="1"/>
              <w:left w:val="single" w:color="BBBBBB" w:sz="1"/>
              <w:bottom w:val="single" w:color="BBBBBB" w:sz="1"/>
              <w:right w:val="single" w:color="BBBBBB" w:sz="1"/>
            </w:tcBorders>
            <w:shd w:fill="FAD7D7" w:val="clear"/>
            <w:tcMar>
              <w:top w:type="dxa" w:w="60"/>
              <w:left w:type="dxa" w:w="120"/>
              <w:bottom w:type="dxa" w:w="60"/>
              <w:right w:type="dxa" w:w="120"/>
            </w:tcMar>
          </w:tcPr>
          <w:p>
            <w:r>
              <w:rPr>
                <w:rFonts w:ascii="Courier New" w:cs="Courier New" w:eastAsia="Courier New" w:hAnsi="Courier New"/>
                <w:color w:val="8B0000"/>
                <w:sz w:val="18"/>
                <w:szCs w:val="18"/>
              </w:rPr>
              <w:t xml:space="preserve">ds.loc[:, "accountingDate"] = parse_date_col(ds.accountingDate)</w:t>
            </w:r>
          </w:p>
        </w:tc>
        <w:tc>
          <w:tcPr>
            <w:tcW w:type="dxa" w:w="3580"/>
            <w:tcBorders>
              <w:top w:val="single" w:color="BBBBBB" w:sz="1"/>
              <w:left w:val="single" w:color="BBBBBB" w:sz="1"/>
              <w:bottom w:val="single" w:color="BBBBBB" w:sz="1"/>
              <w:right w:val="single" w:color="BBBBBB" w:sz="1"/>
            </w:tcBorders>
            <w:shd w:fill="D6F0D6" w:val="clear"/>
            <w:tcMar>
              <w:top w:type="dxa" w:w="60"/>
              <w:left w:type="dxa" w:w="120"/>
              <w:bottom w:type="dxa" w:w="60"/>
              <w:right w:type="dxa" w:w="120"/>
            </w:tcMar>
          </w:tcPr>
          <w:p>
            <w:r>
              <w:rPr>
                <w:rFonts w:ascii="Courier New" w:cs="Courier New" w:eastAsia="Courier New" w:hAnsi="Courier New"/>
                <w:color w:val="1B5E20"/>
                <w:sz w:val="18"/>
                <w:szCs w:val="18"/>
              </w:rPr>
              <w:t xml:space="preserve">ds["accountingDate"] = parse_date_col(ds.accountingDate)</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20"/>
                <w:szCs w:val="20"/>
              </w:rPr>
              <w:t xml:space="preserve">Asignación valueDate</w:t>
            </w:r>
          </w:p>
        </w:tc>
        <w:tc>
          <w:tcPr>
            <w:tcW w:type="dxa" w:w="3580"/>
            <w:tcBorders>
              <w:top w:val="single" w:color="BBBBBB" w:sz="1"/>
              <w:left w:val="single" w:color="BBBBBB" w:sz="1"/>
              <w:bottom w:val="single" w:color="BBBBBB" w:sz="1"/>
              <w:right w:val="single" w:color="BBBBBB" w:sz="1"/>
            </w:tcBorders>
            <w:shd w:fill="FAD7D7" w:val="clear"/>
            <w:tcMar>
              <w:top w:type="dxa" w:w="60"/>
              <w:left w:type="dxa" w:w="120"/>
              <w:bottom w:type="dxa" w:w="60"/>
              <w:right w:type="dxa" w:w="120"/>
            </w:tcMar>
          </w:tcPr>
          <w:p>
            <w:r>
              <w:rPr>
                <w:rFonts w:ascii="Courier New" w:cs="Courier New" w:eastAsia="Courier New" w:hAnsi="Courier New"/>
                <w:color w:val="8B0000"/>
                <w:sz w:val="18"/>
                <w:szCs w:val="18"/>
              </w:rPr>
              <w:t xml:space="preserve">ds.loc[:, "valueDate"] = parse_date_col(ds.valueDate)</w:t>
            </w:r>
          </w:p>
        </w:tc>
        <w:tc>
          <w:tcPr>
            <w:tcW w:type="dxa" w:w="3580"/>
            <w:tcBorders>
              <w:top w:val="single" w:color="BBBBBB" w:sz="1"/>
              <w:left w:val="single" w:color="BBBBBB" w:sz="1"/>
              <w:bottom w:val="single" w:color="BBBBBB" w:sz="1"/>
              <w:right w:val="single" w:color="BBBBBB" w:sz="1"/>
            </w:tcBorders>
            <w:shd w:fill="D6F0D6" w:val="clear"/>
            <w:tcMar>
              <w:top w:type="dxa" w:w="60"/>
              <w:left w:type="dxa" w:w="120"/>
              <w:bottom w:type="dxa" w:w="60"/>
              <w:right w:type="dxa" w:w="120"/>
            </w:tcMar>
          </w:tcPr>
          <w:p>
            <w:r>
              <w:rPr>
                <w:rFonts w:ascii="Courier New" w:cs="Courier New" w:eastAsia="Courier New" w:hAnsi="Courier New"/>
                <w:color w:val="1B5E20"/>
                <w:sz w:val="18"/>
                <w:szCs w:val="18"/>
              </w:rPr>
              <w:t xml:space="preserve">ds["valueDate"] = parse_date_col(ds.valueDate)</w:t>
            </w:r>
          </w:p>
        </w:tc>
      </w:tr>
    </w:tbl>
    <w:p>
      <w:pPr>
        <w:spacing w:after="80" w:before="80"/>
      </w:pPr>
      <w:r>
        <w:rPr>
          <w:rFonts w:ascii="Arial" w:cs="Arial" w:eastAsia="Arial" w:hAnsi="Arial"/>
          <w:i/>
          <w:iCs/>
          <w:color w:val="555555"/>
          <w:sz w:val="22"/>
          <w:szCs w:val="22"/>
        </w:rPr>
        <w:t xml:space="preserve">Implicación: al devolver un pd.DatetimeIndex en lugar de una lista de objetos date, BigQuery y pandas manejan mejor el tipo datetime64. La simplificación de ds.loc[:, col] a ds[col] es equivalente funcionalmente.</w:t>
      </w:r>
    </w:p>
    <w:p>
      <w:pPr>
        <w:spacing w:after="0" w:before="280"/>
      </w:pPr>
    </w:p>
    <w:p>
      <w:pPr>
        <w:pStyle w:val="Heading2"/>
        <w:spacing w:after="120" w:before="240"/>
      </w:pPr>
      <w:r>
        <w:rPr>
          <w:rFonts w:ascii="Arial" w:cs="Arial" w:eastAsia="Arial" w:hAnsi="Arial"/>
          <w:b/>
          <w:bCs/>
          <w:color w:val="444444"/>
          <w:sz w:val="26"/>
          <w:szCs w:val="26"/>
        </w:rPr>
        <w:t xml:space="preserve">2.4  Celda 16 — Validación de columnas contra el schema</w:t>
      </w:r>
    </w:p>
    <w:p>
      <w:pPr>
        <w:spacing w:after="80" w:before="80"/>
      </w:pPr>
      <w:r>
        <w:rPr>
          <w:rFonts w:ascii="Arial" w:cs="Arial" w:eastAsia="Arial" w:hAnsi="Arial"/>
          <w:sz w:val="22"/>
          <w:szCs w:val="22"/>
        </w:rPr>
        <w:t xml:space="preserve">Se añade un nuevo conjunto de columnas permitidas (future_columns) antes de calcular las columnas inválidas, evitando que columnas de categorización y merchant ya presentes en el CSV sean marcadas como erróneas.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9360"/>
            <w:gridSpan w:val="3"/>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color w:val="2E5090"/>
                <w:sz w:val="22"/>
                <w:szCs w:val="22"/>
              </w:rPr>
              <w:t xml:space="preserve">Celda 16 — cálculo de invalid_columns</w:t>
            </w:r>
          </w:p>
        </w:tc>
      </w:tr>
      <w:tr>
        <w:tc>
          <w:tcPr>
            <w:tcW w:type="dxa" w:w="2200"/>
            <w:tcBorders>
              <w:top w:val="single" w:color="BBBBBB" w:sz="1"/>
              <w:left w:val="single" w:color="BBBBBB" w:sz="1"/>
              <w:bottom w:val="single" w:color="BBBBBB" w:sz="1"/>
              <w:right w:val="single" w:color="BBBBBB"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Campo</w:t>
            </w:r>
          </w:p>
        </w:tc>
        <w:tc>
          <w:tcPr>
            <w:tcW w:type="dxa" w:w="3580"/>
            <w:tcBorders>
              <w:top w:val="single" w:color="BBBBBB" w:sz="1"/>
              <w:left w:val="single" w:color="BBBBBB" w:sz="1"/>
              <w:bottom w:val="single" w:color="BBBBBB" w:sz="1"/>
              <w:right w:val="single" w:color="BBBBBB"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v5 (anterior)</w:t>
            </w:r>
          </w:p>
        </w:tc>
        <w:tc>
          <w:tcPr>
            <w:tcW w:type="dxa" w:w="3580"/>
            <w:tcBorders>
              <w:top w:val="single" w:color="BBBBBB" w:sz="1"/>
              <w:left w:val="single" w:color="BBBBBB" w:sz="1"/>
              <w:bottom w:val="single" w:color="BBBBBB" w:sz="1"/>
              <w:right w:val="single" w:color="BBBBBB"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v6 (nuevo)</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20"/>
                <w:szCs w:val="20"/>
              </w:rPr>
              <w:t xml:space="preserve">Conjuntos usados</w:t>
            </w:r>
          </w:p>
        </w:tc>
        <w:tc>
          <w:tcPr>
            <w:tcW w:type="dxa" w:w="3580"/>
            <w:tcBorders>
              <w:top w:val="single" w:color="BBBBBB" w:sz="1"/>
              <w:left w:val="single" w:color="BBBBBB" w:sz="1"/>
              <w:bottom w:val="single" w:color="BBBBBB" w:sz="1"/>
              <w:right w:val="single" w:color="BBBBBB" w:sz="1"/>
            </w:tcBorders>
            <w:shd w:fill="FAD7D7" w:val="clear"/>
            <w:tcMar>
              <w:top w:type="dxa" w:w="60"/>
              <w:left w:type="dxa" w:w="120"/>
              <w:bottom w:type="dxa" w:w="60"/>
              <w:right w:type="dxa" w:w="120"/>
            </w:tcMar>
          </w:tcPr>
          <w:p>
            <w:r>
              <w:rPr>
                <w:rFonts w:ascii="Courier New" w:cs="Courier New" w:eastAsia="Courier New" w:hAnsi="Courier New"/>
                <w:color w:val="8B0000"/>
                <w:sz w:val="18"/>
                <w:szCs w:val="18"/>
              </w:rPr>
              <w:t xml:space="preserve">invalid_columns = df_columns - schema_columns</w:t>
            </w:r>
          </w:p>
        </w:tc>
        <w:tc>
          <w:tcPr>
            <w:tcW w:type="dxa" w:w="3580"/>
            <w:tcBorders>
              <w:top w:val="single" w:color="BBBBBB" w:sz="1"/>
              <w:left w:val="single" w:color="BBBBBB" w:sz="1"/>
              <w:bottom w:val="single" w:color="BBBBBB" w:sz="1"/>
              <w:right w:val="single" w:color="BBBBBB" w:sz="1"/>
            </w:tcBorders>
            <w:shd w:fill="D6F0D6" w:val="clear"/>
            <w:tcMar>
              <w:top w:type="dxa" w:w="60"/>
              <w:left w:type="dxa" w:w="120"/>
              <w:bottom w:type="dxa" w:w="60"/>
              <w:right w:type="dxa" w:w="120"/>
            </w:tcMar>
          </w:tcPr>
          <w:p>
            <w:r>
              <w:rPr>
                <w:rFonts w:ascii="Courier New" w:cs="Courier New" w:eastAsia="Courier New" w:hAnsi="Courier New"/>
                <w:color w:val="1B5E20"/>
                <w:sz w:val="18"/>
                <w:szCs w:val="18"/>
              </w:rPr>
              <w:t xml:space="preserve">future_columns = ({cat_schema} | {mer_schema}
  | {cat_rev_schema} | {mer_rev_schema})
invalid_columns = df_columns - schema_columns - future_columns</w:t>
            </w:r>
          </w:p>
        </w:tc>
      </w:tr>
    </w:tbl>
    <w:p>
      <w:pPr>
        <w:spacing w:after="80" w:before="80"/>
      </w:pPr>
      <w:r>
        <w:rPr>
          <w:rFonts w:ascii="Arial" w:cs="Arial" w:eastAsia="Arial" w:hAnsi="Arial"/>
          <w:i/>
          <w:iCs/>
          <w:color w:val="555555"/>
          <w:sz w:val="22"/>
          <w:szCs w:val="22"/>
        </w:rPr>
        <w:t xml:space="preserve">Implicación: con la v5, si el CSV ya traía columnas de categorización (e.g. categoryCode) o de merchant (e.g. merchantName), se marcaban como inválidas y el usuario tenía que confirmar su eliminación. La v6 las reconoce como «columnas futuras» válidas y no las reporta.</w:t>
      </w:r>
    </w:p>
    <w:p>
      <w:pPr>
        <w:spacing w:after="0" w:before="280"/>
      </w:pPr>
    </w:p>
    <w:p>
      <w:pPr>
        <w:pStyle w:val="Heading2"/>
        <w:spacing w:after="120" w:before="240"/>
      </w:pPr>
      <w:r>
        <w:rPr>
          <w:rFonts w:ascii="Arial" w:cs="Arial" w:eastAsia="Arial" w:hAnsi="Arial"/>
          <w:b/>
          <w:bCs/>
          <w:color w:val="444444"/>
          <w:sz w:val="26"/>
          <w:szCs w:val="26"/>
        </w:rPr>
        <w:t xml:space="preserve">2.5  Celda 18 — Trigger para carga de CATEGORIZATION</w:t>
      </w:r>
    </w:p>
    <w:p>
      <w:pPr>
        <w:spacing w:after="80" w:before="80"/>
      </w:pPr>
      <w:r>
        <w:rPr>
          <w:rFonts w:ascii="Arial" w:cs="Arial" w:eastAsia="Arial" w:hAnsi="Arial"/>
          <w:sz w:val="22"/>
          <w:szCs w:val="22"/>
        </w:rPr>
        <w:t xml:space="preserve">Se simplifica el conjunto de columnas que activan la carga a la tabla TRANSACTIONS_CATEGORIZATION.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9360"/>
            <w:gridSpan w:val="3"/>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color w:val="2E5090"/>
                <w:sz w:val="22"/>
                <w:szCs w:val="22"/>
              </w:rPr>
              <w:t xml:space="preserve">Celda 18 — cat_cols</w:t>
            </w:r>
          </w:p>
        </w:tc>
      </w:tr>
      <w:tr>
        <w:tc>
          <w:tcPr>
            <w:tcW w:type="dxa" w:w="2200"/>
            <w:tcBorders>
              <w:top w:val="single" w:color="BBBBBB" w:sz="1"/>
              <w:left w:val="single" w:color="BBBBBB" w:sz="1"/>
              <w:bottom w:val="single" w:color="BBBBBB" w:sz="1"/>
              <w:right w:val="single" w:color="BBBBBB"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Campo</w:t>
            </w:r>
          </w:p>
        </w:tc>
        <w:tc>
          <w:tcPr>
            <w:tcW w:type="dxa" w:w="3580"/>
            <w:tcBorders>
              <w:top w:val="single" w:color="BBBBBB" w:sz="1"/>
              <w:left w:val="single" w:color="BBBBBB" w:sz="1"/>
              <w:bottom w:val="single" w:color="BBBBBB" w:sz="1"/>
              <w:right w:val="single" w:color="BBBBBB"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v5 (anterior)</w:t>
            </w:r>
          </w:p>
        </w:tc>
        <w:tc>
          <w:tcPr>
            <w:tcW w:type="dxa" w:w="3580"/>
            <w:tcBorders>
              <w:top w:val="single" w:color="BBBBBB" w:sz="1"/>
              <w:left w:val="single" w:color="BBBBBB" w:sz="1"/>
              <w:bottom w:val="single" w:color="BBBBBB" w:sz="1"/>
              <w:right w:val="single" w:color="BBBBBB"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v6 (nuevo)</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20"/>
                <w:szCs w:val="20"/>
              </w:rPr>
              <w:t xml:space="preserve">Columnas trigger</w:t>
            </w:r>
          </w:p>
        </w:tc>
        <w:tc>
          <w:tcPr>
            <w:tcW w:type="dxa" w:w="3580"/>
            <w:tcBorders>
              <w:top w:val="single" w:color="BBBBBB" w:sz="1"/>
              <w:left w:val="single" w:color="BBBBBB" w:sz="1"/>
              <w:bottom w:val="single" w:color="BBBBBB" w:sz="1"/>
              <w:right w:val="single" w:color="BBBBBB" w:sz="1"/>
            </w:tcBorders>
            <w:shd w:fill="FAD7D7" w:val="clear"/>
            <w:tcMar>
              <w:top w:type="dxa" w:w="60"/>
              <w:left w:type="dxa" w:w="120"/>
              <w:bottom w:type="dxa" w:w="60"/>
              <w:right w:type="dxa" w:w="120"/>
            </w:tcMar>
          </w:tcPr>
          <w:p>
            <w:r>
              <w:rPr>
                <w:rFonts w:ascii="Courier New" w:cs="Courier New" w:eastAsia="Courier New" w:hAnsi="Courier New"/>
                <w:color w:val="8B0000"/>
                <w:sz w:val="18"/>
                <w:szCs w:val="18"/>
              </w:rPr>
              <w:t xml:space="preserve">{'categoryCode', 'type', 'category', 'subcategory', 'method'}</w:t>
            </w:r>
          </w:p>
        </w:tc>
        <w:tc>
          <w:tcPr>
            <w:tcW w:type="dxa" w:w="3580"/>
            <w:tcBorders>
              <w:top w:val="single" w:color="BBBBBB" w:sz="1"/>
              <w:left w:val="single" w:color="BBBBBB" w:sz="1"/>
              <w:bottom w:val="single" w:color="BBBBBB" w:sz="1"/>
              <w:right w:val="single" w:color="BBBBBB" w:sz="1"/>
            </w:tcBorders>
            <w:shd w:fill="D6F0D6" w:val="clear"/>
            <w:tcMar>
              <w:top w:type="dxa" w:w="60"/>
              <w:left w:type="dxa" w:w="120"/>
              <w:bottom w:type="dxa" w:w="60"/>
              <w:right w:type="dxa" w:w="120"/>
            </w:tcMar>
          </w:tcPr>
          <w:p>
            <w:r>
              <w:rPr>
                <w:rFonts w:ascii="Courier New" w:cs="Courier New" w:eastAsia="Courier New" w:hAnsi="Courier New"/>
                <w:color w:val="1B5E20"/>
                <w:sz w:val="18"/>
                <w:szCs w:val="18"/>
              </w:rPr>
              <w:t xml:space="preserve">{'categoryCode', 'category', 'subcategory'}</w:t>
            </w:r>
          </w:p>
        </w:tc>
      </w:tr>
    </w:tbl>
    <w:p>
      <w:pPr>
        <w:spacing w:after="80" w:before="80"/>
      </w:pPr>
      <w:r>
        <w:rPr>
          <w:rFonts w:ascii="Arial" w:cs="Arial" w:eastAsia="Arial" w:hAnsi="Arial"/>
          <w:i/>
          <w:iCs/>
          <w:color w:val="555555"/>
          <w:sz w:val="22"/>
          <w:szCs w:val="22"/>
        </w:rPr>
        <w:t xml:space="preserve">Columnas eliminadas del trigger: 'type' y 'method'. Implicación: la carga de datos de categorización ya no se dispara por la presencia de type o method, reduciendo falsos positivos.</w:t>
      </w:r>
    </w:p>
    <w:p>
      <w:pPr>
        <w:spacing w:after="0" w:before="280"/>
      </w:pPr>
    </w:p>
    <w:p>
      <w:pPr>
        <w:pStyle w:val="Heading2"/>
        <w:spacing w:after="120" w:before="240"/>
      </w:pPr>
      <w:r>
        <w:rPr>
          <w:rFonts w:ascii="Arial" w:cs="Arial" w:eastAsia="Arial" w:hAnsi="Arial"/>
          <w:b/>
          <w:bCs/>
          <w:color w:val="444444"/>
          <w:sz w:val="26"/>
          <w:szCs w:val="26"/>
        </w:rPr>
        <w:t xml:space="preserve">2.6  Celda 20 — Trigger para carga de MERCHANT</w:t>
      </w:r>
    </w:p>
    <w:p>
      <w:pPr>
        <w:spacing w:after="80" w:before="80"/>
      </w:pPr>
      <w:r>
        <w:rPr>
          <w:rFonts w:ascii="Arial" w:cs="Arial" w:eastAsia="Arial" w:hAnsi="Arial"/>
          <w:sz w:val="22"/>
          <w:szCs w:val="22"/>
        </w:rPr>
        <w:t xml:space="preserve">El conjunto de columnas que activa la carga a TRANSACTIONS_MERCHANT se reduce drásticamente de 15 columnas a 2.</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9360"/>
            <w:gridSpan w:val="3"/>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color w:val="2E5090"/>
                <w:sz w:val="22"/>
                <w:szCs w:val="22"/>
              </w:rPr>
              <w:t xml:space="preserve">Celda 20 — mer_cols</w:t>
            </w:r>
          </w:p>
        </w:tc>
      </w:tr>
      <w:tr>
        <w:tc>
          <w:tcPr>
            <w:tcW w:type="dxa" w:w="2200"/>
            <w:tcBorders>
              <w:top w:val="single" w:color="BBBBBB" w:sz="1"/>
              <w:left w:val="single" w:color="BBBBBB" w:sz="1"/>
              <w:bottom w:val="single" w:color="BBBBBB" w:sz="1"/>
              <w:right w:val="single" w:color="BBBBBB"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Campo</w:t>
            </w:r>
          </w:p>
        </w:tc>
        <w:tc>
          <w:tcPr>
            <w:tcW w:type="dxa" w:w="3580"/>
            <w:tcBorders>
              <w:top w:val="single" w:color="BBBBBB" w:sz="1"/>
              <w:left w:val="single" w:color="BBBBBB" w:sz="1"/>
              <w:bottom w:val="single" w:color="BBBBBB" w:sz="1"/>
              <w:right w:val="single" w:color="BBBBBB"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v5 (anterior)</w:t>
            </w:r>
          </w:p>
        </w:tc>
        <w:tc>
          <w:tcPr>
            <w:tcW w:type="dxa" w:w="3580"/>
            <w:tcBorders>
              <w:top w:val="single" w:color="BBBBBB" w:sz="1"/>
              <w:left w:val="single" w:color="BBBBBB" w:sz="1"/>
              <w:bottom w:val="single" w:color="BBBBBB" w:sz="1"/>
              <w:right w:val="single" w:color="BBBBBB"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v6 (nuevo)</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b/>
                <w:bCs/>
                <w:sz w:val="20"/>
                <w:szCs w:val="20"/>
              </w:rPr>
              <w:t xml:space="preserve">Columnas trigger (v5)</w:t>
            </w:r>
          </w:p>
        </w:tc>
        <w:tc>
          <w:tcPr>
            <w:tcW w:type="dxa" w:w="3580"/>
            <w:tcBorders>
              <w:top w:val="single" w:color="BBBBBB" w:sz="1"/>
              <w:left w:val="single" w:color="BBBBBB" w:sz="1"/>
              <w:bottom w:val="single" w:color="BBBBBB" w:sz="1"/>
              <w:right w:val="single" w:color="BBBBBB" w:sz="1"/>
            </w:tcBorders>
            <w:shd w:fill="FAD7D7" w:val="clear"/>
            <w:tcMar>
              <w:top w:type="dxa" w:w="60"/>
              <w:left w:type="dxa" w:w="120"/>
              <w:bottom w:type="dxa" w:w="60"/>
              <w:right w:type="dxa" w:w="120"/>
            </w:tcMar>
          </w:tcPr>
          <w:p>
            <w:r>
              <w:rPr>
                <w:rFonts w:ascii="Courier New" w:cs="Courier New" w:eastAsia="Courier New" w:hAnsi="Courier New"/>
                <w:color w:val="8B0000"/>
                <w:sz w:val="18"/>
                <w:szCs w:val="18"/>
              </w:rPr>
              <w:t xml:space="preserve">{'merchantName', 'merchantMCC', 'merchantFUC',
'merchantCode', 'merchantLocality', 'merchantRegion',
'merchantCountry', 'merchantPostalCode',
'merchantLatitude', 'merchantLongitude',
'merchantWebsite', 'merchantSpeciality',
'merchantScore', 'merchantScoreSource',
'merchantLogoUrl'}  (15 columnas)</w:t>
            </w:r>
          </w:p>
        </w:tc>
        <w:tc>
          <w:tcPr>
            <w:tcW w:type="dxa" w:w="3580"/>
            <w:tcBorders>
              <w:top w:val="single" w:color="BBBBBB" w:sz="1"/>
              <w:left w:val="single" w:color="BBBBBB" w:sz="1"/>
              <w:bottom w:val="single" w:color="BBBBBB" w:sz="1"/>
              <w:right w:val="single" w:color="BBBBBB" w:sz="1"/>
            </w:tcBorders>
            <w:shd w:fill="D6F0D6" w:val="clear"/>
            <w:tcMar>
              <w:top w:type="dxa" w:w="60"/>
              <w:left w:type="dxa" w:w="120"/>
              <w:bottom w:type="dxa" w:w="60"/>
              <w:right w:type="dxa" w:w="120"/>
            </w:tcMar>
          </w:tcPr>
          <w:p>
            <w:r>
              <w:rPr>
                <w:rFonts w:ascii="Courier New" w:cs="Courier New" w:eastAsia="Courier New" w:hAnsi="Courier New"/>
                <w:color w:val="1B5E20"/>
                <w:sz w:val="18"/>
                <w:szCs w:val="18"/>
              </w:rPr>
              <w:t xml:space="preserve">{'merchantName', 'legalName'}  (2 columnas)</w:t>
            </w:r>
          </w:p>
        </w:tc>
      </w:tr>
    </w:tbl>
    <w:p>
      <w:pPr>
        <w:spacing w:after="80" w:before="80"/>
      </w:pPr>
      <w:r>
        <w:rPr>
          <w:rFonts w:ascii="Arial" w:cs="Arial" w:eastAsia="Arial" w:hAnsi="Arial"/>
          <w:i/>
          <w:iCs/>
          <w:color w:val="555555"/>
          <w:sz w:val="22"/>
          <w:szCs w:val="22"/>
        </w:rPr>
        <w:t xml:space="preserve">Implicación: la v6 confía en que si el CSV trae merchantName o legalName ya es suficiente para activar la carga de datos merchant. Las demás columnas merchant siguen cargándose si existen en el schema, pero ya no son necesarias para disparar el proceso.</w:t>
      </w:r>
    </w:p>
    <w:p>
      <w:pPr>
        <w:spacing w:after="0" w:before="400"/>
      </w:pPr>
    </w:p>
    <w:p>
      <w:pPr>
        <w:pStyle w:val="Heading1"/>
        <w:spacing w:after="160" w:before="320"/>
      </w:pPr>
      <w:r>
        <w:rPr>
          <w:rFonts w:ascii="Arial" w:cs="Arial" w:eastAsia="Arial" w:hAnsi="Arial"/>
          <w:b/>
          <w:bCs/>
          <w:color w:val="2E5090"/>
          <w:sz w:val="32"/>
          <w:szCs w:val="32"/>
        </w:rPr>
        <w:t xml:space="preserve">3. Conclusiones</w:t>
      </w:r>
    </w:p>
    <w:p>
      <w:pPr>
        <w:spacing w:after="80" w:before="80"/>
      </w:pPr>
      <w:r>
        <w:rPr>
          <w:rFonts w:ascii="Arial" w:cs="Arial" w:eastAsia="Arial" w:hAnsi="Arial"/>
          <w:sz w:val="22"/>
          <w:szCs w:val="22"/>
        </w:rPr>
        <w:t xml:space="preserve">La v6 introduce mejoras principalmente en robustez y mantenibilidad del pipeline:</w:t>
      </w:r>
    </w:p>
    <w:p>
      <w:pPr>
        <w:pStyle w:val="ListParagraph"/>
        <w:numPr>
          <w:ilvl w:val="0"/>
          <w:numId w:val="2"/>
        </w:numPr>
        <w:spacing w:after="40" w:before="80"/>
      </w:pPr>
      <w:r>
        <w:rPr>
          <w:rFonts w:ascii="Arial" w:cs="Arial" w:eastAsia="Arial" w:hAnsi="Arial"/>
          <w:sz w:val="22"/>
          <w:szCs w:val="22"/>
        </w:rPr>
        <w:t xml:space="preserve">Compatibilidad de tipos de fecha: el uso de pd.to_datetime() garantiza que BigQuery reciba columnas de tipo datetime64 en lugar de listas de objetos Python date.</w:t>
      </w:r>
    </w:p>
    <w:p>
      <w:pPr>
        <w:pStyle w:val="ListParagraph"/>
        <w:numPr>
          <w:ilvl w:val="0"/>
          <w:numId w:val="2"/>
        </w:numPr>
        <w:spacing w:after="40" w:before="40"/>
      </w:pPr>
      <w:r>
        <w:rPr>
          <w:rFonts w:ascii="Arial" w:cs="Arial" w:eastAsia="Arial" w:hAnsi="Arial"/>
          <w:sz w:val="22"/>
          <w:szCs w:val="22"/>
        </w:rPr>
        <w:t xml:space="preserve">Validación de schema más inteligente: future_columns evita falsos positivos cuando el CSV ya incluye columnas de salida (categorización o merchant).</w:t>
      </w:r>
    </w:p>
    <w:p>
      <w:pPr>
        <w:pStyle w:val="ListParagraph"/>
        <w:numPr>
          <w:ilvl w:val="0"/>
          <w:numId w:val="2"/>
        </w:numPr>
        <w:spacing w:after="40" w:before="40"/>
      </w:pPr>
      <w:r>
        <w:rPr>
          <w:rFonts w:ascii="Arial" w:cs="Arial" w:eastAsia="Arial" w:hAnsi="Arial"/>
          <w:sz w:val="22"/>
          <w:szCs w:val="22"/>
        </w:rPr>
        <w:t xml:space="preserve">Triggers simplificados: los criterios de carga de categorización y merchant son más precisos, dependiendo solo de las columnas verdaderamente identificativas.</w:t>
      </w:r>
    </w:p>
    <w:p>
      <w:pPr>
        <w:pStyle w:val="ListParagraph"/>
        <w:numPr>
          <w:ilvl w:val="0"/>
          <w:numId w:val="2"/>
        </w:numPr>
        <w:spacing w:after="80" w:before="40"/>
      </w:pPr>
      <w:r>
        <w:rPr>
          <w:rFonts w:ascii="Arial" w:cs="Arial" w:eastAsia="Arial" w:hAnsi="Arial"/>
          <w:sz w:val="22"/>
          <w:szCs w:val="22"/>
        </w:rPr>
        <w:t xml:space="preserve">Adaptación a Bankinter: el rename del identificador de usuario ha sido actualizado para reflejar el nombre real de la columna en el nuevo CSV de Bankinter.</w:t>
      </w:r>
    </w:p>
    <w:p>
      <w:pPr>
        <w:spacing w:after="80" w:before="80"/>
      </w:pPr>
      <w:r>
        <w:rPr>
          <w:rFonts w:ascii="Arial" w:cs="Arial" w:eastAsia="Arial" w:hAnsi="Arial"/>
          <w:sz w:val="22"/>
          <w:szCs w:val="22"/>
        </w:rPr>
        <w:t xml:space="preserve">No se han añadido ni eliminado celdas. El número de instituciones configuradas en el diccionario entities permanece igual. Los cambios son retrocompatibles con el resto de instituciones.</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09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2026-04-07T09:39:17.830Z</dcterms:created>
  <dcterms:modified xsi:type="dcterms:W3CDTF">2026-04-07T09:39:17.830Z</dcterms:modified>
</cp:coreProperties>
</file>

<file path=docProps/custom.xml><?xml version="1.0" encoding="utf-8"?>
<Properties xmlns="http://schemas.openxmlformats.org/officeDocument/2006/custom-properties" xmlns:vt="http://schemas.openxmlformats.org/officeDocument/2006/docPropsVTypes"/>
</file>