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/>
        <w:jc w:val="center"/>
      </w:pPr>
      <w:r>
        <w:drawing>
          <wp:inline>
            <wp:extent cx="5976000" cy="8450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50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FrontTitle"/>
        <w:pageBreakBefore w:val="0"/>
        <w:pBdr>
          <w:bottom w:val="single" w:sz="12" w:space="6" w:color="#14B8A6"/>
        </w:pBdr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>
        <w:gridCol w:w="4706"/>
        <w:gridCol w:w="4706"/>
      </w:tblGrid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DOCUMENT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03_Product_Feature_Sheet.docx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COMPANY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Amyreil Technologies (proposed)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PRODUCT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Amylearn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PREPARED BY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Amyreil Technologies / Amylearn team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VERSION / DATE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4 November 2026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STATUS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Ready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CONFIDENTIALITY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Confidential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val="clear" w:color="auto" w:fill="F1F5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5"/>
              </w:rPr>
              <w:t>PREPARED FOR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Investor and partner review</w:t>
            </w:r>
          </w:p>
        </w:tc>
      </w:tr>
    </w:tbl>
    <w:p>
      <w:pPr>
        <w:spacing w:after="0"/>
      </w:pPr>
    </w:p>
    <w:p>
      <w:pPr>
        <w:pStyle w:val="FrontSub"/>
        <w:pageBreakBefore w:val="0"/>
      </w:pPr>
      <w: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top"/>
            <w:shd w:val="clear" w:color="auto" w:fill="FFFFFF"/>
            <w:tcMar>
              <w:top w:w="120" w:type="dxa"/>
              <w:left w:w="140" w:type="dxa"/>
              <w:bottom w:w="100" w:type="dxa"/>
              <w:right w:w="140" w:type="dxa"/>
            </w:tcMar>
            <w:tcBorders>
              <w:top w:val="single" w:sz="4" w:space="0" w:color="#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0B1220"/>
                <w:sz w:val="38"/>
              </w:rPr>
              <w:t>80</w:t>
            </w:r>
          </w:p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4"/>
              </w:rPr>
              <w:t>CAPABILITIES MAPPED</w:t>
            </w:r>
          </w:p>
        </w:tc>
        <w:tc>
          <w:tcPr>
            <w:tcW w:type="dxa" w:w="2353"/>
            <w:vAlign w:val="top"/>
            <w:shd w:val="clear" w:color="auto" w:fill="FFFFFF"/>
            <w:tcMar>
              <w:top w:w="120" w:type="dxa"/>
              <w:left w:w="140" w:type="dxa"/>
              <w:bottom w:w="100" w:type="dxa"/>
              <w:right w:w="140" w:type="dxa"/>
            </w:tcMar>
            <w:tcBorders>
              <w:top w:val="single" w:sz="4" w:space="0" w:color="#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38"/>
              </w:rPr>
              <w:t>28</w:t>
            </w:r>
          </w:p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4"/>
              </w:rPr>
              <w:t>LIVE</w:t>
            </w:r>
          </w:p>
        </w:tc>
        <w:tc>
          <w:tcPr>
            <w:tcW w:type="dxa" w:w="2353"/>
            <w:vAlign w:val="top"/>
            <w:shd w:val="clear" w:color="auto" w:fill="FFFFFF"/>
            <w:tcMar>
              <w:top w:w="120" w:type="dxa"/>
              <w:left w:w="140" w:type="dxa"/>
              <w:bottom w:w="100" w:type="dxa"/>
              <w:right w:w="140" w:type="dxa"/>
            </w:tcMar>
            <w:tcBorders>
              <w:top w:val="single" w:sz="4" w:space="0" w:color="#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0B1220"/>
                <w:sz w:val="38"/>
              </w:rPr>
              <w:t>23</w:t>
            </w:r>
          </w:p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4"/>
              </w:rPr>
              <w:t>PARTIAL</w:t>
            </w:r>
          </w:p>
        </w:tc>
        <w:tc>
          <w:tcPr>
            <w:tcW w:type="dxa" w:w="2353"/>
            <w:vAlign w:val="top"/>
            <w:shd w:val="clear" w:color="auto" w:fill="FFFFFF"/>
            <w:tcMar>
              <w:top w:w="120" w:type="dxa"/>
              <w:left w:w="140" w:type="dxa"/>
              <w:bottom w:w="100" w:type="dxa"/>
              <w:right w:w="140" w:type="dxa"/>
            </w:tcMar>
            <w:tcBorders>
              <w:top w:val="single" w:sz="4" w:space="0" w:color="#E2E8F0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0B1220"/>
                <w:sz w:val="38"/>
              </w:rPr>
              <w:t>10</w:t>
            </w:r>
          </w:p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4"/>
              </w:rPr>
              <w:t>ROADMAP</w:t>
            </w:r>
          </w:p>
        </w:tc>
      </w:tr>
    </w:tbl>
    <w:p>
      <w:pPr>
        <w:spacing w:before="40" w:after="0"/>
      </w:pPr>
    </w:p>
    <w:p>
      <w:pPr>
        <w:pStyle w:val="FrontTitle"/>
        <w:pageBreakBefore w:val="0"/>
        <w:pBdr>
          <w:bottom w:val="single" w:sz="12" w:space="6" w:color="#14B8A6"/>
        </w:pBdr>
      </w:pPr>
      <w:r>
        <w:t>Contents</w:t>
      </w:r>
    </w:p>
    <w:p>
      <w:pPr>
        <w:spacing w:after="0"/>
      </w:pPr>
      <w:r>
        <w:fldChar w:fldCharType="begin" w:dirty="true"/>
        <w:instrText xml:space="preserve"> TOC \o "1-2" \h \z \u </w:instrText>
        <w:fldChar w:fldCharType="separate"/>
        <w:fldChar w:fldCharType="end"/>
      </w:r>
    </w:p>
    <w:p>
      <w:pPr>
        <w:spacing w:before="0" w:after="0" w:line="20" w:lineRule="exact"/>
        <w:sectPr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left="1247" w:right="1247" w:top="1134" w:bottom="1134" w:header="510" w:footer="510"/>
          <w:titlePg/>
        </w:sectPr>
      </w:pPr>
    </w:p>
    <w:p>
      <w:pPr>
        <w:pStyle w:val="FirstParagraph"/>
      </w:pPr>
      <w:r>
        <w:t xml:space="preserve">This is our own audit of the product, not a marketing list. We use it to keep the demo honest: every row below is something we can either show from the database, label as a prototype, or mark as not built.</w:t>
      </w:r>
    </w:p>
    <w:bookmarkStart w:id="20" w:name="status-definitions"/>
    <w:p>
      <w:pPr>
        <w:pStyle w:val="Heading2"/>
        <w:keepNext/>
        <w:keepLines/>
      </w:pPr>
      <w:r>
        <w:t xml:space="preserve">Status definitions</w:t>
      </w:r>
    </w:p>
    <w:tbl>
      <w:tblPr>
        <w:tblStyle w:val="Table"/>
        <w:tblW w:type="pct" w:w="5000.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>
        <w:gridCol w:w="3960"/>
        <w:gridCol w:w="3960"/>
      </w:tblGrid>
      <w:tr>
        <w:trPr>
          <w:cantSplit w:val="true"/>
          <w:tblHeader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Label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The UI calls an existing backend endpoint and the data persists.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Partial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 real endpoint exists, but the data is synthesized, writes are local-only, or key sub-features are missing.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Prototype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Fully interactive UI with mock/local data; lost on refresh.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Not built.</w:t>
            </w:r>
          </w:p>
        </w:tc>
      </w:tr>
    </w:tbl>
    <w:p>
      <w:pPr>
        <w:pStyle w:val="BlockText"/>
        <w:spacing w:before="120" w:after="120"/>
      </w:pPr>
      <w:r>
        <w:t xml:space="preserve">We use these labels in the demo. We do not present prototype data as live.</w:t>
      </w:r>
    </w:p>
    <w:p>
      <w:r>
        <w:pict>
          <v:rect style="width:0;height:1.5pt" o:hralign="center" o:hrstd="t" o:hr="t"/>
        </w:pict>
      </w:r>
    </w:p>
    <w:bookmarkEnd w:id="20"/>
    <w:bookmarkStart w:id="21" w:name="student-portal"/>
    <w:p>
      <w:pPr>
        <w:pStyle w:val="Heading2"/>
        <w:keepNext/>
        <w:keepLines/>
      </w:pPr>
      <w:r>
        <w:t xml:space="preserve">1. Student portal</w:t>
      </w:r>
    </w:p>
    <w:tbl>
      <w:tblPr>
        <w:tblStyle w:val="Table"/>
        <w:tblW w:type="pct" w:w="5000.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>
        <w:gridCol w:w="2640"/>
        <w:gridCol w:w="2640"/>
        <w:gridCol w:w="2640"/>
      </w:tblGrid>
      <w:tr>
        <w:trPr>
          <w:cantSplit w:val="true"/>
          <w:tblHeader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Module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What the student can do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Overview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Attendance, CGPA, credits, fees, today’s classes, notices, AI shortcuts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My Courses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Browse subjects, modules, lectures, notes, assignments; open PDFs and videos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Assignments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Filter pending/submitted/graded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Attendance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Subject-wise history, filters, attendance simulator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Digital Library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Browse e-books, PYQs, notes; bookmark; in-app PDF reader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Departmental Notices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Read notices, like, comment, open attachments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Final Year Project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Edit synopsis, GitHub/live URLs, artifacts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Timetable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Day/week view, lesson tracker, personal calendar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AI Study Hub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Chat, suggested prompts, quiz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 (canned response today)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Campus Notices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Read notices and attachments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Organisation Calendar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Academic milestones and holidays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 (local storage)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Payment Details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Transaction history and printable receipt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Dues &amp; Pay Fees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Semester fee ledger and payment flow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(no gateway)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University Marks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SGPA/CGPA, subject marks, grade card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Semester Feedback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Rate courses and submit comments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Exam Form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Select subjects, declare, submit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Admit Card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Printable hall ticket with paper schedule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(needs an exam session seeded)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My Profile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Enrolment details and password change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aculty-portal"/>
    <w:p>
      <w:pPr>
        <w:pStyle w:val="Heading2"/>
        <w:keepNext/>
        <w:keepLines/>
      </w:pPr>
      <w:r>
        <w:t xml:space="preserve">2. Faculty portal</w:t>
      </w:r>
    </w:p>
    <w:tbl>
      <w:tblPr>
        <w:tblStyle w:val="Table"/>
        <w:tblW w:type="pct" w:w="5000.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>
        <w:gridCol w:w="2640"/>
        <w:gridCol w:w="2640"/>
        <w:gridCol w:w="2640"/>
      </w:tblGrid>
      <w:tr>
        <w:trPr>
          <w:cantSplit w:val="true"/>
          <w:tblHeader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Module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What the faculty member can do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Faculty home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Classes, attendance, notices, AI widget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Attendance marking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Roster, present/absent/excused, submit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(backend writes attendance)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Class content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Modules, notes, videos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Lesson tracker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Weekly delivery log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Leave application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Apply and track approval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Marks entry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Enter and publish marks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AI study companion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Real tutor chat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mpus-admin-portal"/>
    <w:p>
      <w:pPr>
        <w:pStyle w:val="Heading2"/>
        <w:keepNext/>
        <w:keepLines/>
      </w:pPr>
      <w:r>
        <w:t xml:space="preserve">3. Campus Admin portal</w:t>
      </w:r>
    </w:p>
    <w:tbl>
      <w:tblPr>
        <w:tblStyle w:val="Table"/>
        <w:tblW w:type="pct" w:w="5000.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>
        <w:gridCol w:w="2640"/>
        <w:gridCol w:w="2640"/>
        <w:gridCol w:w="2640"/>
      </w:tblGrid>
      <w:tr>
        <w:trPr>
          <w:cantSplit w:val="true"/>
          <w:tblHeader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Module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What the dean/registrar can do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Overview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Enrolment, faculty, departments, attendance, fees, notices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Manage Users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Search, filter, add, edit, suspend, delete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(reads live; writes local)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Account Creation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Student/faculty/staff provisioning, bulk CSV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Departments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Departments, streams, semester scheme, batches, labs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(reads live; edits local)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Attendance Hub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Institution attendance, defaulters, filters, export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COE Manage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Exam sessions, question bank, moderation, hall allotment, evaluation, grade publishing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Exam Management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Schedules, subject allocation, exam forms, admit cards, re-evaluation, invigilation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Faculty Leave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Approve/decline leave, balances, substitutes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University Marks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Semester results, SGPA, pass metrics, export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Fees &amp; Payments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Collection, transactions, reminders, receipts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 (no fee model)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Campus Notices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Compose, pin, like, comment, attachments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(reads live; writes local)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Staff Notices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Staff-only board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Organisation Calendar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Academic calendar, publish PDF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 (local storage)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Campus Settings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Institution details, branding, attendance threshold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Timetable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Day/week, workload, add/edit slots,</w:t>
            </w:r>
            <w:r>
              <w:rPr>
                <w:rFonts w:ascii="Segoe UI" w:hAnsi="Segoe UI"/>
                <w:color w:val="1F2937"/>
                <w:sz w:val="17"/>
              </w:rPr>
              <w:t xml:space="preserve"> </w:t>
            </w: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clash detection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(clash logic is real; data is sample)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Digital Library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E-books, PYQs, publisher credentials, physical circulation, approvals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Feature Manager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View module flags, request activation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t-admin-portal"/>
    <w:p>
      <w:pPr>
        <w:pStyle w:val="Heading2"/>
        <w:keepNext/>
        <w:keepLines/>
      </w:pPr>
      <w:r>
        <w:t xml:space="preserve">4. IT Admin portal</w:t>
      </w:r>
    </w:p>
    <w:tbl>
      <w:tblPr>
        <w:tblStyle w:val="Table"/>
        <w:tblW w:type="pct" w:w="5000.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>
        <w:gridCol w:w="2640"/>
        <w:gridCol w:w="2640"/>
        <w:gridCol w:w="2640"/>
      </w:tblGrid>
      <w:tr>
        <w:trPr>
          <w:cantSplit w:val="true"/>
          <w:tblHeader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Module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What the platform team can do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Overview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Institutions, requests, managers, health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Institutions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7-step onboarding wizard, edit drawer, suspend/activate, generated subdomain and credentials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(reads live; final submit partly local)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Campus Management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Per-campus users, departments, feature flags, white-labelling, theme, API key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Requests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Approve/reject onboarding requests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 (backend returns empty)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Manage Users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IT manager directory, permissions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Partial (reads live; edits local)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Platform Settings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Brand, support email, session timeout, capacity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Prototype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i-capabilities"/>
    <w:p>
      <w:pPr>
        <w:pStyle w:val="Heading2"/>
        <w:keepNext/>
        <w:keepLines/>
      </w:pPr>
      <w:r>
        <w:t xml:space="preserve">5. AI capabilities</w:t>
      </w:r>
    </w:p>
    <w:p>
      <w:pPr>
        <w:keepNext/>
        <w:spacing w:before="160" w:after="40"/>
        <w:jc w:val="center"/>
      </w:pPr>
      <w:r>
        <w:drawing>
          <wp:inline>
            <wp:extent cx="5760000" cy="3573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b/>
          <w:color w:val="64748B"/>
          <w:sz w:val="16"/>
        </w:rPr>
        <w:t xml:space="preserve">Figure 1. </w:t>
      </w:r>
      <w:r>
        <w:rPr>
          <w:rFonts w:ascii="Segoe UI" w:hAnsi="Segoe UI"/>
          <w:i/>
          <w:color w:val="64748B"/>
          <w:sz w:val="16"/>
        </w:rPr>
        <w:t>Feature status across all 80 catalogued capabilities.</w:t>
      </w:r>
    </w:p>
    <w:tbl>
      <w:tblPr>
        <w:tblStyle w:val="Table"/>
        <w:tblW w:type="pct" w:w="5000.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>
        <w:gridCol w:w="2640"/>
        <w:gridCol w:w="2640"/>
        <w:gridCol w:w="2640"/>
      </w:tblGrid>
      <w:tr>
        <w:trPr>
          <w:cantSplit w:val="true"/>
          <w:tblHeader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Capability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Notes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Tutor chat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Qwen 2.5 3B on Modal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Socratic tutor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Guided questioning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Mind map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Returns Mermaid syntax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Document summary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PDF/DOCX/XLSX/PPTX/TXT, 16k-character input cap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Step-by-step solving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Math/science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Quiz generation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 prompt, no dedicated UI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3 conceptual + 2 numerical questions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Image/handwritten OCR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SmolVLM2 vision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Scanned PDF OCR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OCR.space + Tesseract fallback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Video study notes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 but not transcription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Sends URL to chat model; no speech-to-text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Streaming responses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Roadmap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Single JSON response today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Per-tenant AI quotas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Roadmap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Not metered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Agentic exam scheduling and seating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12–16 week build; LLM planner + OR-Tools solver + human-approved publish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Agent tool permissions and audit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Role/tenant checks at the tool layer; student helper isolated from exam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latform-capabilities"/>
    <w:p>
      <w:pPr>
        <w:pStyle w:val="Heading2"/>
        <w:keepNext/>
        <w:keepLines/>
      </w:pPr>
      <w:r>
        <w:t xml:space="preserve">6. Platform capabilities</w:t>
      </w:r>
    </w:p>
    <w:p>
      <w:pPr>
        <w:keepNext/>
        <w:spacing w:before="160" w:after="40"/>
        <w:jc w:val="center"/>
      </w:pPr>
      <w:r>
        <w:drawing>
          <wp:inline>
            <wp:extent cx="5760000" cy="27210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b/>
          <w:color w:val="64748B"/>
          <w:sz w:val="16"/>
        </w:rPr>
        <w:t xml:space="preserve">Figure 2. </w:t>
      </w:r>
      <w:r>
        <w:rPr>
          <w:rFonts w:ascii="Segoe UI" w:hAnsi="Segoe UI"/>
          <w:i/>
          <w:color w:val="64748B"/>
          <w:sz w:val="16"/>
        </w:rPr>
        <w:t>Status mix by portal.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#E2E8F0"/>
          <w:left w:val="single" w:sz="4" w:space="0" w:color="#E2E8F0"/>
          <w:bottom w:val="single" w:sz="4" w:space="0" w:color="#E2E8F0"/>
          <w:right w:val="single" w:sz="4" w:space="0" w:color="#E2E8F0"/>
          <w:insideH w:val="single" w:sz="4" w:space="0" w:color="#E2E8F0"/>
          <w:insideV w:val="single" w:sz="4" w:space="0" w:color="#E2E8F0"/>
        </w:tblBorders>
      </w:tblPr>
      <w:tblGrid/>
      <w:tr>
        <w:trPr>
          <w:cantSplit w:val="true"/>
          <w:tblHeader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Capability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#0B12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Multi-tenant data model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JWT authentication + tenant claims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Email OTP verification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  <w:r>
              <w:rPr>
                <w:rFonts w:ascii="Segoe UI" w:hAnsi="Segoe UI"/>
                <w:color w:val="1F2937"/>
                <w:sz w:val="17"/>
              </w:rPr>
              <w:t xml:space="preserve"> </w:t>
            </w:r>
            <w:r>
              <w:rPr>
                <w:rFonts w:ascii="Segoe UI" w:hAnsi="Segoe UI"/>
                <w:color w:val="1F2937"/>
                <w:sz w:val="17"/>
              </w:rPr>
              <w:t xml:space="preserve">(signup does not enforce it)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Campus admin and IT admin login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  <w:r>
              <w:rPr>
                <w:rFonts w:ascii="Segoe UI" w:hAnsi="Segoe UI"/>
                <w:color w:val="1F2937"/>
                <w:sz w:val="17"/>
              </w:rPr>
              <w:t xml:space="preserve"> </w:t>
            </w:r>
            <w:r>
              <w:rPr>
                <w:rFonts w:ascii="Segoe UI" w:hAnsi="Segoe UI"/>
                <w:color w:val="1F2937"/>
                <w:sz w:val="17"/>
              </w:rPr>
              <w:t xml:space="preserve">(mock fallback if backend down)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Departments, streams, subjects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Batches and classrooms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  <w:r>
              <w:rPr>
                <w:rFonts w:ascii="Segoe UI" w:hAnsi="Segoe UI"/>
                <w:color w:val="1F2937"/>
                <w:sz w:val="17"/>
              </w:rPr>
              <w:t xml:space="preserve"> </w:t>
            </w:r>
            <w:r>
              <w:rPr>
                <w:rFonts w:ascii="Segoe UI" w:hAnsi="Segoe UI"/>
                <w:color w:val="1F2937"/>
                <w:sz w:val="17"/>
              </w:rPr>
              <w:t xml:space="preserve">(enrollment stubs)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Notices, comments, reactions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Faculty leave workflow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Attendance marking and records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  <w:r>
              <w:rPr>
                <w:rFonts w:ascii="Segoe UI" w:hAnsi="Segoe UI"/>
                <w:color w:val="1F2937"/>
                <w:sz w:val="17"/>
              </w:rPr>
              <w:t xml:space="preserve"> </w:t>
            </w:r>
            <w:r>
              <w:rPr>
                <w:rFonts w:ascii="Segoe UI" w:hAnsi="Segoe UI"/>
                <w:color w:val="1F2937"/>
                <w:sz w:val="17"/>
              </w:rPr>
              <w:t xml:space="preserve">(analytics partly hardcoded)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Digital and physical library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LMS modules and content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  <w:r>
              <w:rPr>
                <w:rFonts w:ascii="Segoe UI" w:hAnsi="Segoe UI"/>
                <w:color w:val="1F2937"/>
                <w:sz w:val="17"/>
              </w:rPr>
              <w:t xml:space="preserve"> </w:t>
            </w:r>
            <w:r>
              <w:rPr>
                <w:rFonts w:ascii="Segoe UI" w:hAnsi="Segoe UI"/>
                <w:color w:val="1F2937"/>
                <w:sz w:val="17"/>
              </w:rPr>
              <w:t xml:space="preserve">(no progress table)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Exam sessions and result storage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Live</w:t>
            </w:r>
            <w:r>
              <w:rPr>
                <w:rFonts w:ascii="Segoe UI" w:hAnsi="Segoe UI"/>
                <w:color w:val="1F2937"/>
                <w:sz w:val="17"/>
              </w:rPr>
              <w:t xml:space="preserve"> </w:t>
            </w:r>
            <w:r>
              <w:rPr>
                <w:rFonts w:ascii="Segoe UI" w:hAnsi="Segoe UI"/>
                <w:color w:val="1F2937"/>
                <w:sz w:val="17"/>
              </w:rPr>
              <w:t xml:space="preserve">(many COE flows stubbed)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Fee/invoice/payment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Audit logging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Server-side RBAC enforcement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Partial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Rate limiting, Helmet, CSP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NAAC/NBA export engine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Mobile app / PWA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8FA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</w:tr>
      <w:tr>
        <w:trPr>
          <w:cantSplit w:val="true"/>
        </w:trPr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Fonts w:ascii="Segoe UI" w:hAnsi="Segoe UI"/>
                <w:color w:val="1F2937"/>
                <w:sz w:val="17"/>
              </w:rPr>
              <w:t xml:space="preserve">Data migration tooling</w:t>
            </w:r>
          </w:p>
        </w:tc>
        <w:tc>
          <w:tcPr>
            <w:vAlign w:val="center"/>
            <w:tcMar>
              <w:top w:w="55" w:type="dxa"/>
              <w:left w:w="85" w:type="dxa"/>
              <w:bottom w:w="55" w:type="dxa"/>
              <w:right w:w="85" w:type="dxa"/>
            </w:tcMar>
            <w:tcBorders>
              <w:top w:val="single" w:sz="4" w:space="0" w:color="#E2E8F0"/>
              <w:left w:val="single" w:sz="4" w:space="0" w:color="#E2E8F0"/>
              <w:bottom w:val="single" w:sz="4" w:space="0" w:color="#E2E8F0"/>
              <w:right w:val="single" w:sz="4" w:space="0" w:color="#E2E8F0"/>
            </w:tcBorders>
            <w:shd w:val="clear" w:color="auto" w:fill="FFFFFF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rFonts w:ascii="Segoe UI" w:hAnsi="Segoe UI"/>
                <w:b/>
                <w:color w:val="1F2937"/>
                <w:sz w:val="17"/>
              </w:rPr>
              <w:t xml:space="preserve">Roadmap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at-we-will-demo-live"/>
    <w:p>
      <w:pPr>
        <w:pStyle w:val="Heading2"/>
        <w:keepNext/>
        <w:keepLines/>
      </w:pPr>
      <w:r>
        <w:t xml:space="preserve">7. What we will demo live</w:t>
      </w:r>
    </w:p>
    <w:p>
      <w:pPr>
        <w:numPr>
          <w:ilvl w:val="0"/>
          <w:numId w:val="1001"/>
        </w:numPr>
        <w:pStyle w:val="Compact"/>
      </w:pPr>
      <w:r>
        <w:t xml:space="preserve">Student login with a seeded tenant account</w:t>
      </w:r>
    </w:p>
    <w:p>
      <w:pPr>
        <w:numPr>
          <w:ilvl w:val="0"/>
          <w:numId w:val="1001"/>
        </w:numPr>
        <w:pStyle w:val="Compact"/>
      </w:pPr>
      <w:r>
        <w:t xml:space="preserve">Exam form submission → refresh → still submitted</w:t>
      </w:r>
    </w:p>
    <w:p>
      <w:pPr>
        <w:numPr>
          <w:ilvl w:val="0"/>
          <w:numId w:val="1001"/>
        </w:numPr>
        <w:pStyle w:val="Compact"/>
      </w:pPr>
      <w:r>
        <w:t xml:space="preserve">Semester feedback submission → refresh → still submitted</w:t>
      </w:r>
    </w:p>
    <w:p>
      <w:pPr>
        <w:numPr>
          <w:ilvl w:val="0"/>
          <w:numId w:val="1001"/>
        </w:numPr>
        <w:pStyle w:val="Compact"/>
      </w:pPr>
      <w:r>
        <w:t xml:space="preserve">Capstone project edit → save → reload → persists</w:t>
      </w:r>
    </w:p>
    <w:p>
      <w:pPr>
        <w:numPr>
          <w:ilvl w:val="0"/>
          <w:numId w:val="1001"/>
        </w:numPr>
        <w:pStyle w:val="Compact"/>
      </w:pPr>
      <w:r>
        <w:t xml:space="preserve">Notices and digital library read from the database</w:t>
      </w:r>
    </w:p>
    <w:p>
      <w:pPr>
        <w:numPr>
          <w:ilvl w:val="0"/>
          <w:numId w:val="1001"/>
        </w:numPr>
        <w:pStyle w:val="Compact"/>
      </w:pPr>
      <w:r>
        <w:t xml:space="preserve">AI chat and PDF summary</w:t>
      </w:r>
    </w:p>
    <w:p>
      <w:pPr>
        <w:numPr>
          <w:ilvl w:val="0"/>
          <w:numId w:val="1001"/>
        </w:numPr>
        <w:pStyle w:val="Compact"/>
      </w:pPr>
      <w:r>
        <w:t xml:space="preserve">Campus admin users and departments read</w:t>
      </w:r>
    </w:p>
    <w:p>
      <w:pPr>
        <w:numPr>
          <w:ilvl w:val="0"/>
          <w:numId w:val="1001"/>
        </w:numPr>
        <w:pStyle w:val="Compact"/>
      </w:pPr>
      <w:r>
        <w:t xml:space="preserve">Timetable conflict detection</w:t>
      </w:r>
    </w:p>
    <w:p>
      <w:pPr>
        <w:numPr>
          <w:ilvl w:val="0"/>
          <w:numId w:val="1001"/>
        </w:numPr>
        <w:pStyle w:val="Compact"/>
      </w:pPr>
      <w:r>
        <w:t xml:space="preserve">IT admin institution list</w:t>
      </w:r>
    </w:p>
    <w:bookmarkEnd w:id="27"/>
    <w:bookmarkStart w:id="28" w:name="X2fef6aace5fb37c9e3b72980bd719e0dc710f78"/>
    <w:p>
      <w:pPr>
        <w:pStyle w:val="Heading2"/>
        <w:keepNext/>
        <w:keepLines/>
      </w:pPr>
      <w:r>
        <w:t xml:space="preserve">8. What we will explicitly label as prototype</w:t>
      </w:r>
    </w:p>
    <w:p>
      <w:pPr>
        <w:numPr>
          <w:ilvl w:val="0"/>
          <w:numId w:val="1002"/>
        </w:numPr>
        <w:pStyle w:val="Compact"/>
      </w:pPr>
      <w:r>
        <w:t xml:space="preserve">COE and exam management screens</w:t>
      </w:r>
    </w:p>
    <w:p>
      <w:pPr>
        <w:numPr>
          <w:ilvl w:val="0"/>
          <w:numId w:val="1002"/>
        </w:numPr>
        <w:pStyle w:val="Compact"/>
      </w:pPr>
      <w:r>
        <w:t xml:space="preserve">Fees and payments</w:t>
      </w:r>
    </w:p>
    <w:p>
      <w:pPr>
        <w:numPr>
          <w:ilvl w:val="0"/>
          <w:numId w:val="1002"/>
        </w:numPr>
        <w:pStyle w:val="Compact"/>
      </w:pPr>
      <w:r>
        <w:t xml:space="preserve">University marks</w:t>
      </w:r>
    </w:p>
    <w:p>
      <w:pPr>
        <w:numPr>
          <w:ilvl w:val="0"/>
          <w:numId w:val="1002"/>
        </w:numPr>
        <w:pStyle w:val="Compact"/>
      </w:pPr>
      <w:r>
        <w:t xml:space="preserve">Admit card (unless an exam session is seeded)</w:t>
      </w:r>
    </w:p>
    <w:p>
      <w:pPr>
        <w:numPr>
          <w:ilvl w:val="0"/>
          <w:numId w:val="1002"/>
        </w:numPr>
        <w:pStyle w:val="Compact"/>
      </w:pPr>
      <w:r>
        <w:t xml:space="preserve">Student AI Study Hub</w:t>
      </w:r>
    </w:p>
    <w:p>
      <w:pPr>
        <w:numPr>
          <w:ilvl w:val="0"/>
          <w:numId w:val="1002"/>
        </w:numPr>
        <w:pStyle w:val="Compact"/>
      </w:pPr>
      <w:r>
        <w:t xml:space="preserve">Account creation / bulk CSV</w:t>
      </w:r>
    </w:p>
    <w:p>
      <w:pPr>
        <w:numPr>
          <w:ilvl w:val="0"/>
          <w:numId w:val="1002"/>
        </w:numPr>
        <w:pStyle w:val="Compact"/>
      </w:pPr>
      <w:r>
        <w:t xml:space="preserve">IT onboarding requests and platform settings</w:t>
      </w:r>
    </w:p>
    <w:bookmarkEnd w:id="28"/>
    <w:bookmarkStart w:id="29" w:name="what-we-will-not-claim"/>
    <w:p>
      <w:pPr>
        <w:pStyle w:val="Heading2"/>
        <w:keepNext/>
        <w:keepLines/>
      </w:pPr>
      <w:r>
        <w:t xml:space="preserve">9. What we will not claim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450+ campuses</w:t>
      </w:r>
      <w:r>
        <w:t xml:space="preserve">”</w:t>
      </w:r>
      <w:r>
        <w:t xml:space="preserve"> </w:t>
      </w:r>
      <w:r>
        <w:t xml:space="preserve">— there is one seeded pilot environment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99.99% uptime</w:t>
      </w:r>
      <w:r>
        <w:t xml:space="preserve">”</w:t>
      </w:r>
      <w:r>
        <w:t xml:space="preserve"> </w:t>
      </w:r>
      <w:r>
        <w:t xml:space="preserve">— no monitoring evidence; target 99.5%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AES-256 at rest</w:t>
      </w:r>
      <w:r>
        <w:t xml:space="preserve">”</w:t>
      </w:r>
      <w:r>
        <w:t xml:space="preserve"> </w:t>
      </w:r>
      <w:r>
        <w:t xml:space="preserve">— not implemented for live data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Gemini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GPT-4o</w:t>
      </w:r>
      <w:r>
        <w:t xml:space="preserve">”</w:t>
      </w:r>
      <w:r>
        <w:t xml:space="preserve"> </w:t>
      </w:r>
      <w:r>
        <w:t xml:space="preserve">— we use Qwen 2.5 3B and SmolVLM2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QR / biometric / geo-fence attendance</w:t>
      </w:r>
      <w:r>
        <w:t xml:space="preserve">”</w:t>
      </w:r>
      <w:r>
        <w:t xml:space="preserve"> </w:t>
      </w:r>
      <w:r>
        <w:t xml:space="preserve">— not implemented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Payment gateway integrated</w:t>
      </w:r>
      <w:r>
        <w:t xml:space="preserve">”</w:t>
      </w:r>
      <w:r>
        <w:t xml:space="preserve"> </w:t>
      </w:r>
      <w:r>
        <w:t xml:space="preserve">— not implemented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NAAC/NBA ready</w:t>
      </w:r>
      <w:r>
        <w:t xml:space="preserve">”</w:t>
      </w:r>
      <w:r>
        <w:t xml:space="preserve"> </w:t>
      </w:r>
      <w:r>
        <w:t xml:space="preserve">— roadmap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Mobile app</w:t>
      </w:r>
      <w:r>
        <w:t xml:space="preserve">”</w:t>
      </w:r>
      <w:r>
        <w:t xml:space="preserve"> </w:t>
      </w:r>
      <w:r>
        <w:t xml:space="preserve">— responsive web only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100% paperless</w:t>
      </w:r>
      <w:r>
        <w:t xml:space="preserve">”</w:t>
      </w:r>
      <w:r>
        <w:t xml:space="preserve"> </w:t>
      </w:r>
      <w:r>
        <w:t xml:space="preserve">— digital exam operations, not end-to-end paperless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7-day migration guarantee</w:t>
      </w:r>
      <w:r>
        <w:t xml:space="preserve">”</w:t>
      </w:r>
      <w:r>
        <w:t xml:space="preserve"> </w:t>
      </w:r>
      <w:r>
        <w:t xml:space="preserve">— onboarding playbook, not a guarantee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We verified this sheet against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Eduspace-deploy-main</w:t>
      </w:r>
      <w:r>
        <w:rPr>
          <w:iCs/>
          <w:i/>
        </w:rPr>
        <w:t xml:space="preserve"> </w:t>
      </w:r>
      <w:r>
        <w:rPr>
          <w:iCs/>
          <w:i/>
        </w:rPr>
        <w:t xml:space="preserve">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6ff5f7e</w:t>
      </w:r>
      <w:r>
        <w:rPr>
          <w:iCs/>
          <w:i/>
        </w:rPr>
        <w:t xml:space="preserve"> </w:t>
      </w:r>
      <w:r>
        <w:rPr>
          <w:iCs/>
          <w:i/>
        </w:rPr>
        <w:t xml:space="preserve">on 23 October 2026. We re-verify it after any merge.</w:t>
      </w:r>
    </w:p>
    <w:bookmarkEnd w:id="29"/>
    <w:sectPr>
      <w:pgSz w:w="11906" w:h="16838"/>
      <w:pgMar w:left="1247" w:right="1247" w:top="1134" w:bottom="1134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  <w:pBdr>
        <w:top w:val="single" w:sz="6" w:space="4" w:color="#E2E8F0"/>
      </w:pBdr>
    </w:pPr>
    <w:r/>
    <w:r>
      <w:rPr>
        <w:rFonts w:ascii="Segoe UI" w:hAnsi="Segoe UI"/>
        <w:color w:val="64748B"/>
        <w:sz w:val="16"/>
      </w:rPr>
      <w:t>Amyreil Technologies / Amylearn team  ·  Confidential</w:t>
    </w:r>
    <w:r>
      <w:tab/>
    </w:r>
    <w:r>
      <w:rPr>
        <w:rFonts w:ascii="Segoe UI" w:hAnsi="Segoe UI"/>
        <w:color w:val="64748B"/>
        <w:sz w:val="16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Segoe UI" w:hAnsi="Segoe UI"/>
        <w:color w:val="64748B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4" w:color="#E2E8F0"/>
      </w:pBdr>
    </w:pPr>
    <w:r/>
    <w:r>
      <w:rPr>
        <w:rFonts w:ascii="Segoe UI" w:hAnsi="Segoe UI"/>
        <w:b/>
        <w:color w:val="0B1220"/>
        <w:sz w:val="16"/>
      </w:rPr>
      <w:t>AMYLEARN</w:t>
    </w:r>
    <w:r>
      <w:rPr>
        <w:sz w:val="16"/>
      </w:rPr>
      <w:tab/>
    </w:r>
    <w:r>
      <w:rPr>
        <w:rFonts w:ascii="Segoe UI" w:hAnsi="Segoe UI"/>
        <w:color w:val="64748B"/>
        <w:sz w:val="16"/>
      </w:rPr>
      <w:t>PRE-SEED PACK  ·  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93" w:lineRule="auto" w:after="120"/>
    </w:pPr>
    <w:rPr>
      <w:rFonts w:ascii="Segoe UI" w:hAnsi="Segoe UI" w:cs="Segoe UI" w:eastAsia="Segoe UI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293" w:lineRule="auto"/>
    </w:pPr>
    <w:qFormat/>
    <w:rPr>
      <w:rFonts w:ascii="Segoe UI" w:hAnsi="Segoe UI" w:cs="Segoe UI" w:eastAsia="Segoe UI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293" w:lineRule="auto" w:after="120"/>
    </w:pPr>
    <w:rPr>
      <w:rFonts w:ascii="Segoe UI" w:hAnsi="Segoe UI" w:cs="Segoe UI" w:eastAsia="Segoe UI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60" w:line="276" w:lineRule="auto"/>
    </w:pPr>
    <w:rPr>
      <w:rFonts w:ascii="Segoe UI" w:hAnsi="Segoe UI" w:cs="Segoe UI" w:eastAsia="Segoe UI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360" w:after="160"/>
      <w:outlineLvl w:val="0"/>
      <w:pBdr>
        <w:bottom w:val="single" w:sz="12" w:space="6" w:color="#14B8A6"/>
      </w:pBdr>
    </w:pPr>
    <w:rPr>
      <w:rFonts w:asciiTheme="majorHAnsi" w:eastAsiaTheme="majorEastAsia" w:hAnsiTheme="majorHAnsi" w:cstheme="majorBidi" w:ascii="Segoe UI" w:hAnsi="Segoe UI" w:cs="Segoe UI" w:eastAsia="Segoe UI"/>
      <w:b/>
      <w:bCs/>
      <w:color w:val="0B1220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B1220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Segoe UI" w:hAnsi="Segoe UI" w:cs="Segoe UI" w:eastAsia="Segoe UI"/>
      <w:b/>
      <w:bCs/>
      <w:color w:val="2563EB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Segoe UI" w:hAnsi="Segoe UI" w:cs="Segoe UI" w:eastAsia="Segoe UI"/>
      <w:i/>
      <w:b/>
      <w:bCs/>
      <w:color w:val="1F2937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198" w:right="113"/>
      <w:pBdr>
        <w:left w:val="single" w:sz="18" w:space="8" w:color="#14B8A6"/>
      </w:pBdr>
      <w:shd w:val="clear" w:color="auto" w:fill="F0FDFA"/>
    </w:pPr>
    <w:rPr>
      <w:rFonts w:ascii="Segoe UI" w:hAnsi="Segoe UI" w:cs="Segoe UI" w:eastAsia="Segoe UI"/>
      <w:color w:val="334155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F172A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 w:val="0"/>
      <w:spacing w:before="0" w:line="259" w:lineRule="auto" w:after="200"/>
      <w:outlineLvl w:val="9"/>
    </w:pPr>
    <w:rPr>
      <w:rFonts w:asciiTheme="majorHAnsi" w:eastAsiaTheme="majorEastAsia" w:hAnsiTheme="majorHAnsi" w:cstheme="majorBidi" w:ascii="Segoe UI" w:hAnsi="Segoe UI" w:cs="Segoe UI" w:eastAsia="Segoe UI"/>
      <w:b/>
      <w:bCs w:val="0"/>
      <w:color w:val="0B1220"/>
      <w:sz w:val="44"/>
    </w:rPr>
  </w:style>
  <w:style w:type="paragraph" w:customStyle="1" w:styleId="FrontTitle">
    <w:name w:val="Front Title"/>
    <w:basedOn w:val="Normal"/>
    <w:pPr>
      <w:keepNext/>
      <w:pageBreakBefore w:val="0"/>
      <w:spacing w:before="0" w:after="160"/>
      <w:outlineLvl w:val="9"/>
    </w:pPr>
    <w:rPr>
      <w:rFonts w:ascii="Segoe UI" w:hAnsi="Segoe UI" w:cs="Segoe UI" w:eastAsia="Segoe UI"/>
      <w:b/>
      <w:color w:val="0B1220"/>
      <w:sz w:val="44"/>
    </w:rPr>
  </w:style>
  <w:style w:type="paragraph" w:customStyle="1" w:styleId="FrontSub">
    <w:name w:val="Front Sub"/>
    <w:basedOn w:val="Normal"/>
    <w:pPr>
      <w:keepNext/>
      <w:pageBreakBefore w:val="0"/>
      <w:spacing w:before="320" w:after="120"/>
      <w:outlineLvl w:val="9"/>
    </w:pPr>
    <w:rPr>
      <w:rFonts w:ascii="Segoe UI" w:hAnsi="Segoe UI" w:cs="Segoe UI" w:eastAsia="Segoe UI"/>
      <w:b/>
      <w:color w:val="0B1220"/>
      <w:sz w:val="3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