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F3A5F"/>
          <w:sz w:val="64"/>
          <w:szCs w:val="64"/>
        </w:rPr>
        <w:t xml:space="preserve">VYOM ENGINE</w:t>
      </w:r>
    </w:p>
    <w:p>
      <w:pPr>
        <w:spacing w:after="100" w:before="200"/>
        <w:jc w:val="center"/>
      </w:pPr>
      <w:r>
        <w:rPr>
          <w:b/>
          <w:bCs/>
          <w:color w:val="2E6E5E"/>
          <w:sz w:val="32"/>
          <w:szCs w:val="32"/>
        </w:rPr>
        <w:t xml:space="preserve">Development Project Documentation</w:t>
      </w:r>
    </w:p>
    <w:p>
      <w:pPr>
        <w:spacing w:after="100" w:before="100"/>
        <w:jc w:val="center"/>
      </w:pPr>
      <w:r>
        <w:rPr>
          <w:i/>
          <w:iCs/>
          <w:color w:val="595959"/>
          <w:sz w:val="24"/>
          <w:szCs w:val="24"/>
        </w:rPr>
        <w:t xml:space="preserve">A Commercial Earth Observation Engine for India and the Asian Market</w:t>
      </w:r>
    </w:p>
    <w:p>
      <w:pPr>
        <w:spacing w:after="1600"/>
      </w:pPr>
    </w:p>
    <w:p>
      <w:pPr>
        <w:spacing w:after="60"/>
        <w:jc w:val="center"/>
      </w:pPr>
      <w:r>
        <w:rPr>
          <w:color w:val="595959"/>
          <w:sz w:val="22"/>
          <w:szCs w:val="22"/>
        </w:rPr>
        <w:t xml:space="preserve">By AgriDoot - NovosEdge Pvt Ltd</w:t>
      </w:r>
    </w:p>
    <w:p>
      <w:pPr>
        <w:spacing w:after="60"/>
        <w:jc w:val="center"/>
      </w:pPr>
      <w:r>
        <w:rPr>
          <w:color w:val="595959"/>
          <w:sz w:val="22"/>
          <w:szCs w:val="22"/>
        </w:rPr>
        <w:t xml:space="preserve">Product: Vyom Engine — General-Purpose Earth Observation Platform</w:t>
      </w:r>
    </w:p>
    <w:p>
      <w:pPr>
        <w:spacing w:after="60"/>
        <w:jc w:val="center"/>
      </w:pPr>
      <w:r>
        <w:rPr>
          <w:color w:val="595959"/>
          <w:sz w:val="22"/>
          <w:szCs w:val="22"/>
        </w:rPr>
        <w:t xml:space="preserve">Document Version: 1.0</w:t>
      </w:r>
    </w:p>
    <w:p>
      <w:pPr>
        <w:spacing w:after="60"/>
        <w:jc w:val="center"/>
      </w:pPr>
      <w:r>
        <w:rPr>
          <w:color w:val="595959"/>
          <w:sz w:val="22"/>
          <w:szCs w:val="22"/>
        </w:rPr>
        <w:t xml:space="preserve">Date: July 10, 2026</w:t>
      </w:r>
    </w:p>
    <w:p>
      <w:pPr>
        <w:spacing w:after="2400"/>
      </w:pPr>
    </w:p>
    <w:p>
      <w:pPr>
        <w:pBdr>
          <w:top w:val="single" w:color="1F3A5F" w:sz="6"/>
        </w:pBdr>
        <w:jc w:val="center"/>
      </w:pPr>
    </w:p>
    <w:p>
      <w:pPr>
        <w:spacing w:before="200"/>
        <w:jc w:val="center"/>
      </w:pPr>
      <w:r>
        <w:rPr>
          <w:i/>
          <w:iCs/>
          <w:color w:val="595959"/>
          <w:sz w:val="18"/>
          <w:szCs w:val="18"/>
        </w:rPr>
        <w:t xml:space="preserve">Confidential — Internal Architecture &amp; Planning Document</w:t>
      </w:r>
    </w:p>
    <w:p>
      <w:pPr>
        <w:sectPr>
          <w:pgSz w:w="12240" w:h="15840" w:orient="portrait"/>
          <w:pgMar w:top="1440" w:right="1440" w:bottom="1440" w:left="1440"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ageBreakBefore/>
        <w:spacing w:after="200" w:before="400"/>
      </w:pPr>
      <w:r>
        <w:t xml:space="preserve">1. Executive Summary</w:t>
      </w:r>
    </w:p>
    <w:p>
      <w:pPr>
        <w:spacing w:after="160" w:line="276"/>
        <w:jc w:val="both"/>
      </w:pPr>
      <w:r>
        <w:rPr>
          <w:sz w:val="22"/>
          <w:szCs w:val="22"/>
        </w:rPr>
        <w:t xml:space="preserve">Vyom Engine is a commercial, general-purpose Earth Observation platform being built to serve India and the broader Asian market — architecturally comparable in ambition to Google Earth Engine, Sentinel Hub, and Planet Labs, but built ground-up on self-managed infrastructure to avoid recurring third-party processing costs and quota ceilings.</w:t>
      </w:r>
    </w:p>
    <w:p>
      <w:pPr>
        <w:spacing w:after="160" w:line="276"/>
        <w:jc w:val="both"/>
      </w:pPr>
      <w:r>
        <w:rPr>
          <w:sz w:val="22"/>
          <w:szCs w:val="22"/>
        </w:rPr>
        <w:t xml:space="preserve">The platform is built on the Copernicus Data Space Ecosystem as its primary data source (Sentinel-1, Sentinel-2, Sentinel-3, Sentinel-5P, and Copernicus DEM), with all processing performed on owned/self-hosted infrastructure using a fully Python-based stack: FastAPI, Celery, PostgreSQL/PostGIS, Rasterio, GDAL, GeoPandas, Redis, MinIO, and TiTiler.</w:t>
      </w:r>
    </w:p>
    <w:p>
      <w:pPr>
        <w:spacing w:after="160" w:line="276"/>
        <w:jc w:val="both"/>
      </w:pPr>
      <w:r>
        <w:rPr>
          <w:sz w:val="22"/>
          <w:szCs w:val="22"/>
        </w:rPr>
        <w:t xml:space="preserve">The project builds directly on the founder's existing experience with AgriDoot, an agriculture-focused IoT and satellite GIS platform, and generalizes that experience into a horizontal Earth Observation engine capable of serving agriculture, forestry, mining, smart cities, disaster management, insurance, banking, climate, construction, telecom, logistics, government, utilities, water resources, and infrastructure-monitoring use cases.</w:t>
      </w:r>
    </w:p>
    <w:p>
      <w:pPr>
        <w:spacing w:after="160" w:line="276"/>
        <w:jc w:val="both"/>
      </w:pPr>
      <w:r>
        <w:rPr>
          <w:sz w:val="22"/>
          <w:szCs w:val="22"/>
        </w:rPr>
        <w:t xml:space="preserve">This document specifies the complete system architecture, data pipelines, storage design, processing model, AI/ML layer, platform/SaaS considerations, operational practices, folder and API structure, scaling strategy toward 10 million+ polygons, competitive positioning against incumbents, and a five-phase delivery roadmap.</w:t>
      </w:r>
    </w:p>
    <w:p>
      <w:pPr>
        <w:pStyle w:val="Heading2"/>
        <w:spacing w:after="150" w:before="300"/>
      </w:pPr>
      <w:r>
        <w:t xml:space="preserve">1.1 Core Design Principle</w:t>
      </w:r>
    </w:p>
    <w:p>
      <w:pPr>
        <w:spacing w:after="160" w:line="276"/>
        <w:jc w:val="both"/>
      </w:pPr>
      <w:r>
        <w:rPr>
          <w:sz w:val="22"/>
          <w:szCs w:val="22"/>
        </w:rPr>
        <w:t xml:space="preserve">The single decision that shapes the entire system is this: Vyom Engine processes data by satellite tile, never by user polygon. Each Sentinel tile is downloaded once, processed once into analysis-ready products, and used to compute statistics for every intersecting polygon in a single pass. This is what allows the platform to serve unlimited users and unlimited new polygons without incurring additional Copernicus Processing Unit (PU) cost or re-downloading imagery — the same principle underlying Google Earth Engine's computation model and Sentinel Hub's batch processing approach.</w:t>
      </w:r>
    </w:p>
    <w:p>
      <w:pPr>
        <w:pStyle w:val="Heading1"/>
        <w:pageBreakBefore/>
        <w:spacing w:after="200" w:before="400"/>
      </w:pPr>
      <w:r>
        <w:t xml:space="preserve">2. Overall System Architecture</w:t>
      </w:r>
    </w:p>
    <w:p>
      <w:pPr>
        <w:spacing w:after="160" w:line="276"/>
        <w:jc w:val="both"/>
      </w:pPr>
      <w:r>
        <w:rPr>
          <w:sz w:val="22"/>
          <w:szCs w:val="22"/>
        </w:rPr>
        <w:t xml:space="preserve">Vyom Engine is organized around three architectural spines, connected by a shared metadata catalog and job orchestration layer:</w:t>
      </w:r>
    </w:p>
    <w:p>
      <w:pPr>
        <w:pStyle w:val="ListParagraph"/>
        <w:numPr>
          <w:ilvl w:val="0"/>
          <w:numId w:val="2"/>
        </w:numPr>
        <w:spacing w:after="80"/>
        <w:jc w:val="both"/>
      </w:pPr>
      <w:r>
        <w:t xml:space="preserve">Ingestion spine — discovers and downloads Copernicus products exactly once</w:t>
      </w:r>
    </w:p>
    <w:p>
      <w:pPr>
        <w:pStyle w:val="ListParagraph"/>
        <w:numPr>
          <w:ilvl w:val="0"/>
          <w:numId w:val="2"/>
        </w:numPr>
        <w:spacing w:after="80"/>
        <w:jc w:val="both"/>
      </w:pPr>
      <w:r>
        <w:t xml:space="preserve">Processing spine — converts raw products into analysis-ready and derived products</w:t>
      </w:r>
    </w:p>
    <w:p>
      <w:pPr>
        <w:pStyle w:val="ListParagraph"/>
        <w:numPr>
          <w:ilvl w:val="0"/>
          <w:numId w:val="2"/>
        </w:numPr>
        <w:spacing w:after="80"/>
        <w:jc w:val="both"/>
      </w:pPr>
      <w:r>
        <w:t xml:space="preserve">Serving spine — exposes tiles, statistics, time series, and ML inference via APIs</w:t>
      </w:r>
    </w:p>
    <w:p>
      <w:pPr>
        <w:spacing w:after="100"/>
      </w:pPr>
    </w:p>
    <w:p>
      <w:pPr>
        <w:spacing w:after="160" w:line="276"/>
        <w:jc w:val="both"/>
      </w:pPr>
      <w:r>
        <w:rPr>
          <w:sz w:val="22"/>
          <w:szCs w:val="22"/>
        </w:rPr>
        <w:t xml:space="preserve">These spines are underpinned by PostGIS (spatial catalog and statistics), Redis (cache and job queue), MinIO (object storage across raw/processed/derived/export tiers), and Celery (distributed task execution).</w:t>
      </w:r>
    </w:p>
    <w:p>
      <w:pPr>
        <w:pStyle w:val="Heading2"/>
        <w:spacing w:after="150" w:before="300"/>
      </w:pPr>
      <w:r>
        <w:t xml:space="preserve">2.1 High-Level Data Flow</w:t>
      </w:r>
    </w:p>
    <w:p>
      <w:pPr>
        <w:shd w:fill="F2F2F2" w:val="clear"/>
        <w:spacing w:after="0"/>
      </w:pPr>
      <w:r>
        <w:rPr>
          <w:rFonts w:ascii="Consolas" w:cs="Consolas" w:eastAsia="Consolas" w:hAnsi="Consolas"/>
          <w:sz w:val="17"/>
          <w:szCs w:val="17"/>
        </w:rPr>
        <w:t xml:space="preserve">Copernicus Data Space Ecosystem</w:t>
      </w:r>
    </w:p>
    <w:p>
      <w:pPr>
        <w:shd w:fill="F2F2F2" w:val="clear"/>
        <w:spacing w:after="0"/>
      </w:pPr>
      <w:r>
        <w:rPr>
          <w:rFonts w:ascii="Consolas" w:cs="Consolas" w:eastAsia="Consolas" w:hAnsi="Consolas"/>
          <w:sz w:val="17"/>
          <w:szCs w:val="17"/>
        </w:rPr>
        <w:t xml:space="preserve">        |  OAuth2 / OData / STAC</w:t>
      </w:r>
    </w:p>
    <w:p>
      <w:pPr>
        <w:shd w:fill="F2F2F2" w:val="clear"/>
        <w:spacing w:after="0"/>
      </w:pPr>
      <w:r>
        <w:rPr>
          <w:rFonts w:ascii="Consolas" w:cs="Consolas" w:eastAsia="Consolas" w:hAnsi="Consolas"/>
          <w:sz w:val="17"/>
          <w:szCs w:val="17"/>
        </w:rPr>
        <w:t xml:space="preserve">        v</w:t>
      </w:r>
    </w:p>
    <w:p>
      <w:pPr>
        <w:shd w:fill="F2F2F2" w:val="clear"/>
        <w:spacing w:after="0"/>
      </w:pPr>
      <w:r>
        <w:rPr>
          <w:rFonts w:ascii="Consolas" w:cs="Consolas" w:eastAsia="Consolas" w:hAnsi="Consolas"/>
          <w:sz w:val="17"/>
          <w:szCs w:val="17"/>
        </w:rPr>
        <w:t xml:space="preserve">INGESTION SPINE  (discovery -&gt; download-manager -&gt; dedup)</w:t>
      </w:r>
    </w:p>
    <w:p>
      <w:pPr>
        <w:shd w:fill="F2F2F2" w:val="clear"/>
        <w:spacing w:after="0"/>
      </w:pPr>
      <w:r>
        <w:rPr>
          <w:rFonts w:ascii="Consolas" w:cs="Consolas" w:eastAsia="Consolas" w:hAnsi="Consolas"/>
          <w:sz w:val="17"/>
          <w:szCs w:val="17"/>
        </w:rPr>
        <w:t xml:space="preserve">        |  raw SAFE / JP2 / NetCDF</w:t>
      </w:r>
    </w:p>
    <w:p>
      <w:pPr>
        <w:shd w:fill="F2F2F2" w:val="clear"/>
        <w:spacing w:after="0"/>
      </w:pPr>
      <w:r>
        <w:rPr>
          <w:rFonts w:ascii="Consolas" w:cs="Consolas" w:eastAsia="Consolas" w:hAnsi="Consolas"/>
          <w:sz w:val="17"/>
          <w:szCs w:val="17"/>
        </w:rPr>
        <w:t xml:space="preserve">        v</w:t>
      </w:r>
    </w:p>
    <w:p>
      <w:pPr>
        <w:shd w:fill="F2F2F2" w:val="clear"/>
        <w:spacing w:after="0"/>
      </w:pPr>
      <w:r>
        <w:rPr>
          <w:rFonts w:ascii="Consolas" w:cs="Consolas" w:eastAsia="Consolas" w:hAnsi="Consolas"/>
          <w:sz w:val="17"/>
          <w:szCs w:val="17"/>
        </w:rPr>
        <w:t xml:space="preserve">MinIO (raw bucket)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v</w:t>
      </w:r>
    </w:p>
    <w:p>
      <w:pPr>
        <w:shd w:fill="F2F2F2" w:val="clear"/>
        <w:spacing w:after="0"/>
      </w:pPr>
      <w:r>
        <w:rPr>
          <w:rFonts w:ascii="Consolas" w:cs="Consolas" w:eastAsia="Consolas" w:hAnsi="Consolas"/>
          <w:sz w:val="17"/>
          <w:szCs w:val="17"/>
        </w:rPr>
        <w:t xml:space="preserve">PROCESSING SPINE (cloud mask, atmospheric correction, index calc,</w:t>
      </w:r>
    </w:p>
    <w:p>
      <w:pPr>
        <w:shd w:fill="F2F2F2" w:val="clear"/>
        <w:spacing w:after="0"/>
      </w:pPr>
      <w:r>
        <w:rPr>
          <w:rFonts w:ascii="Consolas" w:cs="Consolas" w:eastAsia="Consolas" w:hAnsi="Consolas"/>
          <w:sz w:val="17"/>
          <w:szCs w:val="17"/>
        </w:rPr>
        <w:t xml:space="preserve">                  COG conversion, pyramids, zonal statistics)</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v                                   v</w:t>
      </w:r>
    </w:p>
    <w:p>
      <w:pPr>
        <w:shd w:fill="F2F2F2" w:val="clear"/>
        <w:spacing w:after="0"/>
      </w:pPr>
      <w:r>
        <w:rPr>
          <w:rFonts w:ascii="Consolas" w:cs="Consolas" w:eastAsia="Consolas" w:hAnsi="Consolas"/>
          <w:sz w:val="17"/>
          <w:szCs w:val="17"/>
        </w:rPr>
        <w:t xml:space="preserve">MinIO (processed / derived COGs)     PostGIS (catalog, polygons, stats)</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v                                   v</w:t>
      </w:r>
    </w:p>
    <w:p>
      <w:pPr>
        <w:shd w:fill="F2F2F2" w:val="clear"/>
        <w:spacing w:after="0"/>
      </w:pPr>
      <w:r>
        <w:rPr>
          <w:rFonts w:ascii="Consolas" w:cs="Consolas" w:eastAsia="Consolas" w:hAnsi="Consolas"/>
          <w:sz w:val="17"/>
          <w:szCs w:val="17"/>
        </w:rPr>
        <w:t xml:space="preserve">SERVING SPINE (TiTiler tile server, stats API, time-series API,</w:t>
      </w:r>
    </w:p>
    <w:p>
      <w:pPr>
        <w:shd w:fill="F2F2F2" w:val="clear"/>
        <w:spacing w:after="200"/>
      </w:pPr>
      <w:r>
        <w:rPr>
          <w:rFonts w:ascii="Consolas" w:cs="Consolas" w:eastAsia="Consolas" w:hAnsi="Consolas"/>
          <w:sz w:val="17"/>
          <w:szCs w:val="17"/>
        </w:rPr>
        <w:t xml:space="preserve">               ML inference API, export API) -&gt; API Gateway -&gt; Users</w:t>
      </w:r>
    </w:p>
    <w:p>
      <w:pPr>
        <w:pStyle w:val="Heading2"/>
        <w:spacing w:after="150" w:before="300"/>
      </w:pPr>
      <w:r>
        <w:t xml:space="preserve">2.2 Design Properties</w:t>
      </w:r>
    </w:p>
    <w:p>
      <w:pPr>
        <w:pStyle w:val="ListParagraph"/>
        <w:numPr>
          <w:ilvl w:val="0"/>
          <w:numId w:val="2"/>
        </w:numPr>
        <w:spacing w:after="80"/>
        <w:jc w:val="both"/>
      </w:pPr>
      <w:r>
        <w:t xml:space="preserve">Every processing and serving component is stateless and horizontally scalable.</w:t>
      </w:r>
    </w:p>
    <w:p>
      <w:pPr>
        <w:pStyle w:val="ListParagraph"/>
        <w:numPr>
          <w:ilvl w:val="0"/>
          <w:numId w:val="2"/>
        </w:numPr>
        <w:spacing w:after="80"/>
        <w:jc w:val="both"/>
      </w:pPr>
      <w:r>
        <w:t xml:space="preserve">PostGIS and MinIO are the only stateful systems, scaled via replication/partitioning and distributed erasure-coded storage respectively.</w:t>
      </w:r>
    </w:p>
    <w:p>
      <w:pPr>
        <w:pStyle w:val="ListParagraph"/>
        <w:numPr>
          <w:ilvl w:val="0"/>
          <w:numId w:val="2"/>
        </w:numPr>
        <w:spacing w:after="80"/>
        <w:jc w:val="both"/>
      </w:pPr>
      <w:r>
        <w:t xml:space="preserve">All satellite data is downloaded exactly once per product and reused indefinitely across all tenants and polygons.</w:t>
      </w:r>
    </w:p>
    <w:p>
      <w:pPr>
        <w:pStyle w:val="Heading1"/>
        <w:pageBreakBefore/>
        <w:spacing w:after="200" w:before="400"/>
      </w:pPr>
      <w:r>
        <w:t xml:space="preserve">3. Microservice Architecture</w:t>
      </w:r>
    </w:p>
    <w:p>
      <w:pPr>
        <w:spacing w:after="160" w:line="276"/>
        <w:jc w:val="both"/>
      </w:pPr>
      <w:r>
        <w:rPr>
          <w:sz w:val="22"/>
          <w:szCs w:val="22"/>
        </w:rPr>
        <w:t xml:space="preserve">Each service below is independently deployable, independently scalable, and owns a narrow responsibility. Services communicate over internal REST/async task queues, never by sharing a database schema across service boundaries where avoidable.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00"/>
      </w:tblGrid>
      <w:tr>
        <w:trPr>
          <w:tblHeader/>
        </w:trPr>
        <w:tc>
          <w:tcPr>
            <w:tcW w:type="dxa" w:w="2600"/>
            <w:shd w:fill="1F3A5F" w:val="clear"/>
            <w:tcMar>
              <w:top w:type="dxa" w:w="80"/>
              <w:left w:type="dxa" w:w="100"/>
              <w:bottom w:type="dxa" w:w="80"/>
              <w:right w:type="dxa" w:w="100"/>
            </w:tcMar>
            <w:vAlign w:val="center"/>
          </w:tcPr>
          <w:p>
            <w:r>
              <w:rPr>
                <w:b/>
                <w:bCs/>
                <w:color w:val="FFFFFF"/>
                <w:sz w:val="19"/>
                <w:szCs w:val="19"/>
              </w:rPr>
              <w:t xml:space="preserve">Service</w:t>
            </w:r>
          </w:p>
        </w:tc>
        <w:tc>
          <w:tcPr>
            <w:tcW w:type="dxa" w:w="5200"/>
            <w:shd w:fill="1F3A5F" w:val="clear"/>
            <w:tcMar>
              <w:top w:type="dxa" w:w="80"/>
              <w:left w:type="dxa" w:w="100"/>
              <w:bottom w:type="dxa" w:w="80"/>
              <w:right w:type="dxa" w:w="100"/>
            </w:tcMar>
            <w:vAlign w:val="center"/>
          </w:tcPr>
          <w:p>
            <w:r>
              <w:rPr>
                <w:b/>
                <w:bCs/>
                <w:color w:val="FFFFFF"/>
                <w:sz w:val="19"/>
                <w:szCs w:val="19"/>
              </w:rPr>
              <w:t xml:space="preserve">Responsibility</w:t>
            </w:r>
          </w:p>
        </w:tc>
        <w:tc>
          <w:tcPr>
            <w:tcW w:type="dxa" w:w="2200"/>
            <w:shd w:fill="1F3A5F" w:val="clear"/>
            <w:tcMar>
              <w:top w:type="dxa" w:w="80"/>
              <w:left w:type="dxa" w:w="100"/>
              <w:bottom w:type="dxa" w:w="80"/>
              <w:right w:type="dxa" w:w="100"/>
            </w:tcMar>
            <w:vAlign w:val="center"/>
          </w:tcPr>
          <w:p>
            <w:r>
              <w:rPr>
                <w:b/>
                <w:bCs/>
                <w:color w:val="FFFFFF"/>
                <w:sz w:val="19"/>
                <w:szCs w:val="19"/>
              </w:rPr>
              <w:t xml:space="preserve">Primary Tech</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discovery-svc</w:t>
            </w:r>
          </w:p>
        </w:tc>
        <w:tc>
          <w:tcPr>
            <w:tcW w:type="dxa" w:w="5200"/>
            <w:tcMar>
              <w:top w:type="dxa" w:w="80"/>
              <w:left w:type="dxa" w:w="100"/>
              <w:bottom w:type="dxa" w:w="80"/>
              <w:right w:type="dxa" w:w="100"/>
            </w:tcMar>
            <w:vAlign w:val="center"/>
          </w:tcPr>
          <w:p>
            <w:r>
              <w:rPr>
                <w:b w:val="false"/>
                <w:bCs w:val="false"/>
                <w:color w:val="000000"/>
                <w:sz w:val="19"/>
                <w:szCs w:val="19"/>
              </w:rPr>
              <w:t xml:space="preserve">Polls Copernicus STAC/OData catalog for new products matching AOI/date/cloud rules</w:t>
            </w:r>
          </w:p>
        </w:tc>
        <w:tc>
          <w:tcPr>
            <w:tcW w:type="dxa" w:w="2200"/>
            <w:tcMar>
              <w:top w:type="dxa" w:w="80"/>
              <w:left w:type="dxa" w:w="100"/>
              <w:bottom w:type="dxa" w:w="80"/>
              <w:right w:type="dxa" w:w="100"/>
            </w:tcMar>
            <w:vAlign w:val="center"/>
          </w:tcPr>
          <w:p>
            <w:r>
              <w:rPr>
                <w:b w:val="false"/>
                <w:bCs w:val="false"/>
                <w:color w:val="000000"/>
                <w:sz w:val="19"/>
                <w:szCs w:val="19"/>
              </w:rPr>
              <w:t xml:space="preserve">FastAPI + Celery beat</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auth-broker-svc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Manages Copernicus OAuth2 tokens; pools multiple accounts for throughput</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FastAPI</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download-manager-svc</w:t>
            </w:r>
          </w:p>
        </w:tc>
        <w:tc>
          <w:tcPr>
            <w:tcW w:type="dxa" w:w="5200"/>
            <w:tcMar>
              <w:top w:type="dxa" w:w="80"/>
              <w:left w:type="dxa" w:w="100"/>
              <w:bottom w:type="dxa" w:w="80"/>
              <w:right w:type="dxa" w:w="100"/>
            </w:tcMar>
            <w:vAlign w:val="center"/>
          </w:tcPr>
          <w:p>
            <w:r>
              <w:rPr>
                <w:b w:val="false"/>
                <w:bCs w:val="false"/>
                <w:color w:val="000000"/>
                <w:sz w:val="19"/>
                <w:szCs w:val="19"/>
              </w:rPr>
              <w:t xml:space="preserve">Queues, throttles, retries downloads; enforces PU budget</w:t>
            </w:r>
          </w:p>
        </w:tc>
        <w:tc>
          <w:tcPr>
            <w:tcW w:type="dxa" w:w="2200"/>
            <w:tcMar>
              <w:top w:type="dxa" w:w="80"/>
              <w:left w:type="dxa" w:w="100"/>
              <w:bottom w:type="dxa" w:w="80"/>
              <w:right w:type="dxa" w:w="100"/>
            </w:tcMar>
            <w:vAlign w:val="center"/>
          </w:tcPr>
          <w:p>
            <w:r>
              <w:rPr>
                <w:b w:val="false"/>
                <w:bCs w:val="false"/>
                <w:color w:val="000000"/>
                <w:sz w:val="19"/>
                <w:szCs w:val="19"/>
              </w:rPr>
              <w:t xml:space="preserve">Celery workers</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dedup-svc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Checksum + catalog lookup before any download</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Embedded in download-manager</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tile-registry-svc</w:t>
            </w:r>
          </w:p>
        </w:tc>
        <w:tc>
          <w:tcPr>
            <w:tcW w:type="dxa" w:w="5200"/>
            <w:tcMar>
              <w:top w:type="dxa" w:w="80"/>
              <w:left w:type="dxa" w:w="100"/>
              <w:bottom w:type="dxa" w:w="80"/>
              <w:right w:type="dxa" w:w="100"/>
            </w:tcMar>
            <w:vAlign w:val="center"/>
          </w:tcPr>
          <w:p>
            <w:r>
              <w:rPr>
                <w:b w:val="false"/>
                <w:bCs w:val="false"/>
                <w:color w:val="000000"/>
                <w:sz w:val="19"/>
                <w:szCs w:val="19"/>
              </w:rPr>
              <w:t xml:space="preserve">Owns canonical MGRS/tile grid; tracks per-tile processing state</w:t>
            </w:r>
          </w:p>
        </w:tc>
        <w:tc>
          <w:tcPr>
            <w:tcW w:type="dxa" w:w="2200"/>
            <w:tcMar>
              <w:top w:type="dxa" w:w="80"/>
              <w:left w:type="dxa" w:w="100"/>
              <w:bottom w:type="dxa" w:w="80"/>
              <w:right w:type="dxa" w:w="100"/>
            </w:tcMar>
            <w:vAlign w:val="center"/>
          </w:tcPr>
          <w:p>
            <w:r>
              <w:rPr>
                <w:b w:val="false"/>
                <w:bCs w:val="false"/>
                <w:color w:val="000000"/>
                <w:sz w:val="19"/>
                <w:szCs w:val="19"/>
              </w:rPr>
              <w:t xml:space="preserve">FastAPI + PostGIS</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tile-processor-svc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Atmospheric correction, cloud masking, index computation, COG generation</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Celery workers (CPU)</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zonal-stats-engine</w:t>
            </w:r>
          </w:p>
        </w:tc>
        <w:tc>
          <w:tcPr>
            <w:tcW w:type="dxa" w:w="5200"/>
            <w:tcMar>
              <w:top w:type="dxa" w:w="80"/>
              <w:left w:type="dxa" w:w="100"/>
              <w:bottom w:type="dxa" w:w="80"/>
              <w:right w:type="dxa" w:w="100"/>
            </w:tcMar>
            <w:vAlign w:val="center"/>
          </w:tcPr>
          <w:p>
            <w:r>
              <w:rPr>
                <w:b w:val="false"/>
                <w:bCs w:val="false"/>
                <w:color w:val="000000"/>
                <w:sz w:val="19"/>
                <w:szCs w:val="19"/>
              </w:rPr>
              <w:t xml:space="preserve">Computes statistics for every polygon intersecting a processed tile</w:t>
            </w:r>
          </w:p>
        </w:tc>
        <w:tc>
          <w:tcPr>
            <w:tcW w:type="dxa" w:w="2200"/>
            <w:tcMar>
              <w:top w:type="dxa" w:w="80"/>
              <w:left w:type="dxa" w:w="100"/>
              <w:bottom w:type="dxa" w:w="80"/>
              <w:right w:type="dxa" w:w="100"/>
            </w:tcMar>
            <w:vAlign w:val="center"/>
          </w:tcPr>
          <w:p>
            <w:r>
              <w:rPr>
                <w:b w:val="false"/>
                <w:bCs w:val="false"/>
                <w:color w:val="000000"/>
                <w:sz w:val="19"/>
                <w:szCs w:val="19"/>
              </w:rPr>
              <w:t xml:space="preserve">Celery workers (CPU)</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polygon-catalog-svc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CRUD for user polygons; spatial indexing; tile-intersection mapping</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FastAPI + PostGIS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timeseries-svc</w:t>
            </w:r>
          </w:p>
        </w:tc>
        <w:tc>
          <w:tcPr>
            <w:tcW w:type="dxa" w:w="5200"/>
            <w:tcMar>
              <w:top w:type="dxa" w:w="80"/>
              <w:left w:type="dxa" w:w="100"/>
              <w:bottom w:type="dxa" w:w="80"/>
              <w:right w:type="dxa" w:w="100"/>
            </w:tcMar>
            <w:vAlign w:val="center"/>
          </w:tcPr>
          <w:p>
            <w:r>
              <w:rPr>
                <w:b w:val="false"/>
                <w:bCs w:val="false"/>
                <w:color w:val="000000"/>
                <w:sz w:val="19"/>
                <w:szCs w:val="19"/>
              </w:rPr>
              <w:t xml:space="preserve">Assembles per-polygon time series; gap-filling and smoothing</w:t>
            </w:r>
          </w:p>
        </w:tc>
        <w:tc>
          <w:tcPr>
            <w:tcW w:type="dxa" w:w="2200"/>
            <w:tcMar>
              <w:top w:type="dxa" w:w="80"/>
              <w:left w:type="dxa" w:w="100"/>
              <w:bottom w:type="dxa" w:w="80"/>
              <w:right w:type="dxa" w:w="100"/>
            </w:tcMar>
            <w:vAlign w:val="center"/>
          </w:tcPr>
          <w:p>
            <w:r>
              <w:rPr>
                <w:b w:val="false"/>
                <w:bCs w:val="false"/>
                <w:color w:val="000000"/>
                <w:sz w:val="19"/>
                <w:szCs w:val="19"/>
              </w:rPr>
              <w:t xml:space="preserve">FastAPI</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changedetection-svc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Cross-date diff engine (NDVI drop, deforestation, flood extent)</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Celery + FastAPI</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tile-serving-svc</w:t>
            </w:r>
          </w:p>
        </w:tc>
        <w:tc>
          <w:tcPr>
            <w:tcW w:type="dxa" w:w="5200"/>
            <w:tcMar>
              <w:top w:type="dxa" w:w="80"/>
              <w:left w:type="dxa" w:w="100"/>
              <w:bottom w:type="dxa" w:w="80"/>
              <w:right w:type="dxa" w:w="100"/>
            </w:tcMar>
            <w:vAlign w:val="center"/>
          </w:tcPr>
          <w:p>
            <w:r>
              <w:rPr>
                <w:b w:val="false"/>
                <w:bCs w:val="false"/>
                <w:color w:val="000000"/>
                <w:sz w:val="19"/>
                <w:szCs w:val="19"/>
              </w:rPr>
              <w:t xml:space="preserve">XYZ / WMTS / TMS tile serving</w:t>
            </w:r>
          </w:p>
        </w:tc>
        <w:tc>
          <w:tcPr>
            <w:tcW w:type="dxa" w:w="2200"/>
            <w:tcMar>
              <w:top w:type="dxa" w:w="80"/>
              <w:left w:type="dxa" w:w="100"/>
              <w:bottom w:type="dxa" w:w="80"/>
              <w:right w:type="dxa" w:w="100"/>
            </w:tcMar>
            <w:vAlign w:val="center"/>
          </w:tcPr>
          <w:p>
            <w:r>
              <w:rPr>
                <w:b w:val="false"/>
                <w:bCs w:val="false"/>
                <w:color w:val="000000"/>
                <w:sz w:val="19"/>
                <w:szCs w:val="19"/>
              </w:rPr>
              <w:t xml:space="preserve">TiTiler</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ml-inference-svc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Object detection, segmentation, classification</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FastAPI + GPU workers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export-svc</w:t>
            </w:r>
          </w:p>
        </w:tc>
        <w:tc>
          <w:tcPr>
            <w:tcW w:type="dxa" w:w="5200"/>
            <w:tcMar>
              <w:top w:type="dxa" w:w="80"/>
              <w:left w:type="dxa" w:w="100"/>
              <w:bottom w:type="dxa" w:w="80"/>
              <w:right w:type="dxa" w:w="100"/>
            </w:tcMar>
            <w:vAlign w:val="center"/>
          </w:tcPr>
          <w:p>
            <w:r>
              <w:rPr>
                <w:b w:val="false"/>
                <w:bCs w:val="false"/>
                <w:color w:val="000000"/>
                <w:sz w:val="19"/>
                <w:szCs w:val="19"/>
              </w:rPr>
              <w:t xml:space="preserve">Async GeoTIFF/CSV/PDF export generation</w:t>
            </w:r>
          </w:p>
        </w:tc>
        <w:tc>
          <w:tcPr>
            <w:tcW w:type="dxa" w:w="2200"/>
            <w:tcMar>
              <w:top w:type="dxa" w:w="80"/>
              <w:left w:type="dxa" w:w="100"/>
              <w:bottom w:type="dxa" w:w="80"/>
              <w:right w:type="dxa" w:w="100"/>
            </w:tcMar>
            <w:vAlign w:val="center"/>
          </w:tcPr>
          <w:p>
            <w:r>
              <w:rPr>
                <w:b w:val="false"/>
                <w:bCs w:val="false"/>
                <w:color w:val="000000"/>
                <w:sz w:val="19"/>
                <w:szCs w:val="19"/>
              </w:rPr>
              <w:t xml:space="preserve">Celery + MinIO</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billing-svc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Usage metering, quota enforcement, invoicing</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FastAPI + Postgres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tenant-svc</w:t>
            </w:r>
          </w:p>
        </w:tc>
        <w:tc>
          <w:tcPr>
            <w:tcW w:type="dxa" w:w="5200"/>
            <w:tcMar>
              <w:top w:type="dxa" w:w="80"/>
              <w:left w:type="dxa" w:w="100"/>
              <w:bottom w:type="dxa" w:w="80"/>
              <w:right w:type="dxa" w:w="100"/>
            </w:tcMar>
            <w:vAlign w:val="center"/>
          </w:tcPr>
          <w:p>
            <w:r>
              <w:rPr>
                <w:b w:val="false"/>
                <w:bCs w:val="false"/>
                <w:color w:val="000000"/>
                <w:sz w:val="19"/>
                <w:szCs w:val="19"/>
              </w:rPr>
              <w:t xml:space="preserve">Multi-tenant org/user/API-key management</w:t>
            </w:r>
          </w:p>
        </w:tc>
        <w:tc>
          <w:tcPr>
            <w:tcW w:type="dxa" w:w="2200"/>
            <w:tcMar>
              <w:top w:type="dxa" w:w="80"/>
              <w:left w:type="dxa" w:w="100"/>
              <w:bottom w:type="dxa" w:w="80"/>
              <w:right w:type="dxa" w:w="100"/>
            </w:tcMar>
            <w:vAlign w:val="center"/>
          </w:tcPr>
          <w:p>
            <w:r>
              <w:rPr>
                <w:b w:val="false"/>
                <w:bCs w:val="false"/>
                <w:color w:val="000000"/>
                <w:sz w:val="19"/>
                <w:szCs w:val="19"/>
              </w:rPr>
              <w:t xml:space="preserve">FastAPI + Postgres</w:t>
            </w:r>
          </w:p>
        </w:tc>
      </w:tr>
      <w:tr>
        <w:tc>
          <w:tcPr>
            <w:tcW w:type="dxa" w:w="2600"/>
            <w:shd w:fill="EAF0EE" w:val="clear"/>
            <w:tcMar>
              <w:top w:type="dxa" w:w="80"/>
              <w:left w:type="dxa" w:w="100"/>
              <w:bottom w:type="dxa" w:w="80"/>
              <w:right w:type="dxa" w:w="100"/>
            </w:tcMar>
            <w:vAlign w:val="center"/>
          </w:tcPr>
          <w:p>
            <w:r>
              <w:rPr>
                <w:b w:val="false"/>
                <w:bCs w:val="false"/>
                <w:color w:val="000000"/>
                <w:sz w:val="19"/>
                <w:szCs w:val="19"/>
              </w:rPr>
              <w:t xml:space="preserve">notification-svc</w:t>
            </w:r>
          </w:p>
        </w:tc>
        <w:tc>
          <w:tcPr>
            <w:tcW w:type="dxa" w:w="5200"/>
            <w:shd w:fill="EAF0EE" w:val="clear"/>
            <w:tcMar>
              <w:top w:type="dxa" w:w="80"/>
              <w:left w:type="dxa" w:w="100"/>
              <w:bottom w:type="dxa" w:w="80"/>
              <w:right w:type="dxa" w:w="100"/>
            </w:tcMar>
            <w:vAlign w:val="center"/>
          </w:tcPr>
          <w:p>
            <w:r>
              <w:rPr>
                <w:b w:val="false"/>
                <w:bCs w:val="false"/>
                <w:color w:val="000000"/>
                <w:sz w:val="19"/>
                <w:szCs w:val="19"/>
              </w:rPr>
              <w:t xml:space="preserve">Webhooks, email, SMS for job completion/alerts</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Celery</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gateway</w:t>
            </w:r>
          </w:p>
        </w:tc>
        <w:tc>
          <w:tcPr>
            <w:tcW w:type="dxa" w:w="5200"/>
            <w:tcMar>
              <w:top w:type="dxa" w:w="80"/>
              <w:left w:type="dxa" w:w="100"/>
              <w:bottom w:type="dxa" w:w="80"/>
              <w:right w:type="dxa" w:w="100"/>
            </w:tcMar>
            <w:vAlign w:val="center"/>
          </w:tcPr>
          <w:p>
            <w:r>
              <w:rPr>
                <w:b w:val="false"/>
                <w:bCs w:val="false"/>
                <w:color w:val="000000"/>
                <w:sz w:val="19"/>
                <w:szCs w:val="19"/>
              </w:rPr>
              <w:t xml:space="preserve">AuthN/Z, rate limiting, routing</w:t>
            </w:r>
          </w:p>
        </w:tc>
        <w:tc>
          <w:tcPr>
            <w:tcW w:type="dxa" w:w="2200"/>
            <w:tcMar>
              <w:top w:type="dxa" w:w="80"/>
              <w:left w:type="dxa" w:w="100"/>
              <w:bottom w:type="dxa" w:w="80"/>
              <w:right w:type="dxa" w:w="100"/>
            </w:tcMar>
            <w:vAlign w:val="center"/>
          </w:tcPr>
          <w:p>
            <w:r>
              <w:rPr>
                <w:b w:val="false"/>
                <w:bCs w:val="false"/>
                <w:color w:val="000000"/>
                <w:sz w:val="19"/>
                <w:szCs w:val="19"/>
              </w:rPr>
              <w:t xml:space="preserve">Kong / Traefik</w:t>
            </w:r>
          </w:p>
        </w:tc>
      </w:tr>
    </w:tbl>
    <w:p>
      <w:pPr>
        <w:pStyle w:val="Heading1"/>
        <w:pageBreakBefore/>
        <w:spacing w:after="200" w:before="400"/>
      </w:pPr>
      <w:r>
        <w:t xml:space="preserve">4. Data Ingestion Pipeline</w:t>
      </w:r>
    </w:p>
    <w:p>
      <w:pPr>
        <w:pStyle w:val="Heading2"/>
        <w:spacing w:after="150" w:before="300"/>
      </w:pPr>
      <w:r>
        <w:t xml:space="preserve">4.1 Copernicus Authentication</w:t>
      </w:r>
    </w:p>
    <w:p>
      <w:pPr>
        <w:spacing w:after="160" w:line="276"/>
        <w:jc w:val="both"/>
      </w:pPr>
      <w:r>
        <w:rPr>
          <w:sz w:val="22"/>
          <w:szCs w:val="22"/>
        </w:rPr>
        <w:t xml:space="preserve">Copernicus Data Space Ecosystem authenticates via OAuth2 (Keycloak-backed). The auth-broker-svc maintains a pool of registered accounts/client credentials so ingestion throughput is not capped by a single account's PU quota, caches and proactively refreshes access tokens ahead of expiry, and exposes an internal token endpoint so downstream services never contact Keycloak directly.</w:t>
      </w:r>
    </w:p>
    <w:p>
      <w:pPr>
        <w:pStyle w:val="Heading2"/>
        <w:spacing w:after="150" w:before="300"/>
      </w:pPr>
      <w:r>
        <w:t xml:space="preserve">4.2 Product Discovery</w:t>
      </w:r>
    </w:p>
    <w:p>
      <w:pPr>
        <w:pStyle w:val="ListParagraph"/>
        <w:numPr>
          <w:ilvl w:val="0"/>
          <w:numId w:val="2"/>
        </w:numPr>
        <w:spacing w:after="80"/>
        <w:jc w:val="both"/>
      </w:pPr>
      <w:r>
        <w:t xml:space="preserve">Query via the OData API or STAC API by collection, AOI (WKT/GeoJSON), date range, and cloud cover.</w:t>
      </w:r>
    </w:p>
    <w:p>
      <w:pPr>
        <w:pStyle w:val="ListParagraph"/>
        <w:numPr>
          <w:ilvl w:val="0"/>
          <w:numId w:val="2"/>
        </w:numPr>
        <w:spacing w:after="80"/>
        <w:jc w:val="both"/>
      </w:pPr>
      <w:r>
        <w:t xml:space="preserve">discovery-svc runs on a Celery beat schedule — frequent polling for near-real-time collections (S1/S2), daily for S3/S5P.</w:t>
      </w:r>
    </w:p>
    <w:p>
      <w:pPr>
        <w:pStyle w:val="ListParagraph"/>
        <w:numPr>
          <w:ilvl w:val="0"/>
          <w:numId w:val="2"/>
        </w:numPr>
        <w:spacing w:after="80"/>
        <w:jc w:val="both"/>
      </w:pPr>
      <w:r>
        <w:t xml:space="preserve">Every discovered product is written to catalog_products with status 'discovered' before any download is attempted — this table is the system's dedup source of truth.</w:t>
      </w:r>
    </w:p>
    <w:p>
      <w:pPr>
        <w:pStyle w:val="ListParagraph"/>
        <w:numPr>
          <w:ilvl w:val="0"/>
          <w:numId w:val="2"/>
        </w:numPr>
        <w:spacing w:after="80"/>
        <w:jc w:val="both"/>
      </w:pPr>
      <w:r>
        <w:t xml:space="preserve">AOI rules are maintained per subscription tier (e.g., all of India, S2 L1C, cloud cover under 40%) as saved discovery filters.</w:t>
      </w:r>
    </w:p>
    <w:p>
      <w:pPr>
        <w:pStyle w:val="Heading2"/>
        <w:spacing w:after="150" w:before="300"/>
      </w:pPr>
      <w:r>
        <w:t xml:space="preserve">4.3 Download Manager &amp; Scheduling</w:t>
      </w:r>
    </w:p>
    <w:p>
      <w:pPr>
        <w:pStyle w:val="ListParagraph"/>
        <w:numPr>
          <w:ilvl w:val="0"/>
          <w:numId w:val="2"/>
        </w:numPr>
        <w:spacing w:after="80"/>
        <w:jc w:val="both"/>
      </w:pPr>
      <w:r>
        <w:t xml:space="preserve">Priority queueing: near-real-time subscriptions outrank backfill/historical, which outranks ad-hoc research requests.</w:t>
      </w:r>
    </w:p>
    <w:p>
      <w:pPr>
        <w:pStyle w:val="ListParagraph"/>
        <w:numPr>
          <w:ilvl w:val="0"/>
          <w:numId w:val="2"/>
        </w:numPr>
        <w:spacing w:after="80"/>
        <w:jc w:val="both"/>
      </w:pPr>
      <w:r>
        <w:t xml:space="preserve">Rate limiting enforced against Copernicus concurrent-download and PU limits via the auth broker's live counters.</w:t>
      </w:r>
    </w:p>
    <w:p>
      <w:pPr>
        <w:pStyle w:val="ListParagraph"/>
        <w:numPr>
          <w:ilvl w:val="0"/>
          <w:numId w:val="2"/>
        </w:numPr>
        <w:spacing w:after="80"/>
        <w:jc w:val="both"/>
      </w:pPr>
      <w:r>
        <w:t xml:space="preserve">Exponential backoff and circuit breaking per account on HTTP 429/503.</w:t>
      </w:r>
    </w:p>
    <w:p>
      <w:pPr>
        <w:pStyle w:val="ListParagraph"/>
        <w:numPr>
          <w:ilvl w:val="0"/>
          <w:numId w:val="2"/>
        </w:numPr>
        <w:spacing w:after="80"/>
        <w:jc w:val="both"/>
      </w:pPr>
      <w:r>
        <w:t xml:space="preserve">Downloads are staged, checksum-verified, then atomically moved into the MinIO raw bucket and marked 'downloaded'.</w:t>
      </w:r>
    </w:p>
    <w:p>
      <w:pPr>
        <w:pStyle w:val="Heading2"/>
        <w:spacing w:after="150" w:before="300"/>
      </w:pPr>
      <w:r>
        <w:t xml:space="preserve">4.4 Duplicate Detection</w:t>
      </w:r>
    </w:p>
    <w:p>
      <w:pPr>
        <w:pStyle w:val="ListParagraph"/>
        <w:numPr>
          <w:ilvl w:val="0"/>
          <w:numId w:val="3"/>
        </w:numPr>
        <w:spacing w:after="80"/>
        <w:jc w:val="both"/>
      </w:pPr>
      <w:r>
        <w:t xml:space="preserve">Catalog check — product ID already downloaded/processed is skipped.</w:t>
      </w:r>
    </w:p>
    <w:p>
      <w:pPr>
        <w:pStyle w:val="ListParagraph"/>
        <w:numPr>
          <w:ilvl w:val="0"/>
          <w:numId w:val="3"/>
        </w:numPr>
        <w:spacing w:after="80"/>
        <w:jc w:val="both"/>
      </w:pPr>
      <w:r>
        <w:t xml:space="preserve">Tile+date+collection check — equivalent coverage already exists unless a new processing baseline requires reprocessing.</w:t>
      </w:r>
    </w:p>
    <w:p>
      <w:pPr>
        <w:pStyle w:val="ListParagraph"/>
        <w:numPr>
          <w:ilvl w:val="0"/>
          <w:numId w:val="3"/>
        </w:numPr>
        <w:spacing w:after="80"/>
        <w:jc w:val="both"/>
      </w:pPr>
      <w:r>
        <w:t xml:space="preserve">Checksum verification — final integrity gate, not the primary dedup filter.</w:t>
      </w:r>
    </w:p>
    <w:p>
      <w:pPr>
        <w:pStyle w:val="Heading2"/>
        <w:spacing w:after="150" w:before="300"/>
      </w:pPr>
      <w:r>
        <w:t xml:space="preserve">4.5 Tile Management</w:t>
      </w:r>
    </w:p>
    <w:p>
      <w:pPr>
        <w:spacing w:after="160" w:line="276"/>
        <w:jc w:val="both"/>
      </w:pPr>
      <w:r>
        <w:rPr>
          <w:sz w:val="22"/>
          <w:szCs w:val="22"/>
        </w:rPr>
        <w:t xml:space="preserve">The platform adopts the MGRS grid for Sentinel-2 and native swath/frame IDs for Sentinel-1/3/5P as its canonical tiling scheme, rather than inventing a proprietary grid — preserving compatibility with the broader open-source geospatial ecosystem. tile-registry-svc tracks, per tile: last acquisition date, processing status, materialized list of intersecting polygon IDs, and processing baseline version, enabling selective reprocessing when ESA updates its correction algorithms.</w:t>
      </w:r>
    </w:p>
    <w:p>
      <w:pPr>
        <w:pStyle w:val="Heading1"/>
        <w:pageBreakBefore/>
        <w:spacing w:after="200" w:before="400"/>
      </w:pPr>
      <w:r>
        <w:t xml:space="preserve">5. Storage Architecture</w:t>
      </w:r>
    </w:p>
    <w:p>
      <w:pPr>
        <w:pStyle w:val="Heading2"/>
        <w:spacing w:after="150" w:before="300"/>
      </w:pPr>
      <w:r>
        <w:t xml:space="preserve">5.1 Layered Storage Model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2200"/>
        <w:gridCol w:w="2500"/>
      </w:tblGrid>
      <w:tr>
        <w:trPr>
          <w:tblHeader/>
        </w:trPr>
        <w:tc>
          <w:tcPr>
            <w:tcW w:type="dxa" w:w="1900"/>
            <w:shd w:fill="1F3A5F" w:val="clear"/>
            <w:tcMar>
              <w:top w:type="dxa" w:w="80"/>
              <w:left w:type="dxa" w:w="100"/>
              <w:bottom w:type="dxa" w:w="80"/>
              <w:right w:type="dxa" w:w="100"/>
            </w:tcMar>
            <w:vAlign w:val="center"/>
          </w:tcPr>
          <w:p>
            <w:r>
              <w:rPr>
                <w:b/>
                <w:bCs/>
                <w:color w:val="FFFFFF"/>
                <w:sz w:val="19"/>
                <w:szCs w:val="19"/>
              </w:rPr>
              <w:t xml:space="preserve">Layer</w:t>
            </w:r>
          </w:p>
        </w:tc>
        <w:tc>
          <w:tcPr>
            <w:tcW w:type="dxa" w:w="3400"/>
            <w:shd w:fill="1F3A5F" w:val="clear"/>
            <w:tcMar>
              <w:top w:type="dxa" w:w="80"/>
              <w:left w:type="dxa" w:w="100"/>
              <w:bottom w:type="dxa" w:w="80"/>
              <w:right w:type="dxa" w:w="100"/>
            </w:tcMar>
            <w:vAlign w:val="center"/>
          </w:tcPr>
          <w:p>
            <w:r>
              <w:rPr>
                <w:b/>
                <w:bCs/>
                <w:color w:val="FFFFFF"/>
                <w:sz w:val="19"/>
                <w:szCs w:val="19"/>
              </w:rPr>
              <w:t xml:space="preserve">Contents</w:t>
            </w:r>
          </w:p>
        </w:tc>
        <w:tc>
          <w:tcPr>
            <w:tcW w:type="dxa" w:w="2200"/>
            <w:shd w:fill="1F3A5F" w:val="clear"/>
            <w:tcMar>
              <w:top w:type="dxa" w:w="80"/>
              <w:left w:type="dxa" w:w="100"/>
              <w:bottom w:type="dxa" w:w="80"/>
              <w:right w:type="dxa" w:w="100"/>
            </w:tcMar>
            <w:vAlign w:val="center"/>
          </w:tcPr>
          <w:p>
            <w:r>
              <w:rPr>
                <w:b/>
                <w:bCs/>
                <w:color w:val="FFFFFF"/>
                <w:sz w:val="19"/>
                <w:szCs w:val="19"/>
              </w:rPr>
              <w:t xml:space="preserve">Store</w:t>
            </w:r>
          </w:p>
        </w:tc>
        <w:tc>
          <w:tcPr>
            <w:tcW w:type="dxa" w:w="2500"/>
            <w:shd w:fill="1F3A5F" w:val="clear"/>
            <w:tcMar>
              <w:top w:type="dxa" w:w="80"/>
              <w:left w:type="dxa" w:w="100"/>
              <w:bottom w:type="dxa" w:w="80"/>
              <w:right w:type="dxa" w:w="100"/>
            </w:tcMar>
            <w:vAlign w:val="center"/>
          </w:tcPr>
          <w:p>
            <w:r>
              <w:rPr>
                <w:b/>
                <w:bCs/>
                <w:color w:val="FFFFFF"/>
                <w:sz w:val="19"/>
                <w:szCs w:val="19"/>
              </w:rPr>
              <w:t xml:space="preserve">Retention</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Raw</w:t>
            </w:r>
          </w:p>
        </w:tc>
        <w:tc>
          <w:tcPr>
            <w:tcW w:type="dxa" w:w="3400"/>
            <w:tcMar>
              <w:top w:type="dxa" w:w="80"/>
              <w:left w:type="dxa" w:w="100"/>
              <w:bottom w:type="dxa" w:w="80"/>
              <w:right w:type="dxa" w:w="100"/>
            </w:tcMar>
            <w:vAlign w:val="center"/>
          </w:tcPr>
          <w:p>
            <w:r>
              <w:rPr>
                <w:b w:val="false"/>
                <w:bCs w:val="false"/>
                <w:color w:val="000000"/>
                <w:sz w:val="19"/>
                <w:szCs w:val="19"/>
              </w:rPr>
              <w:t xml:space="preserve">Original SAFE / JP2 / NetCDF as downloaded</w:t>
            </w:r>
          </w:p>
        </w:tc>
        <w:tc>
          <w:tcPr>
            <w:tcW w:type="dxa" w:w="2200"/>
            <w:tcMar>
              <w:top w:type="dxa" w:w="80"/>
              <w:left w:type="dxa" w:w="100"/>
              <w:bottom w:type="dxa" w:w="80"/>
              <w:right w:type="dxa" w:w="100"/>
            </w:tcMar>
            <w:vAlign w:val="center"/>
          </w:tcPr>
          <w:p>
            <w:r>
              <w:rPr>
                <w:b w:val="false"/>
                <w:bCs w:val="false"/>
                <w:color w:val="000000"/>
                <w:sz w:val="19"/>
                <w:szCs w:val="19"/>
              </w:rPr>
              <w:t xml:space="preserve">MinIO raw/</w:t>
            </w:r>
          </w:p>
        </w:tc>
        <w:tc>
          <w:tcPr>
            <w:tcW w:type="dxa" w:w="2500"/>
            <w:tcMar>
              <w:top w:type="dxa" w:w="80"/>
              <w:left w:type="dxa" w:w="100"/>
              <w:bottom w:type="dxa" w:w="80"/>
              <w:right w:type="dxa" w:w="100"/>
            </w:tcMar>
            <w:vAlign w:val="center"/>
          </w:tcPr>
          <w:p>
            <w:r>
              <w:rPr>
                <w:b w:val="false"/>
                <w:bCs w:val="false"/>
                <w:color w:val="000000"/>
                <w:sz w:val="19"/>
                <w:szCs w:val="19"/>
              </w:rPr>
              <w:t xml:space="preserve">Configurable; often deleted post-processing</w:t>
            </w:r>
          </w:p>
        </w:tc>
      </w:tr>
      <w:tr>
        <w:tc>
          <w:tcPr>
            <w:tcW w:type="dxa" w:w="1900"/>
            <w:shd w:fill="EAF0EE" w:val="clear"/>
            <w:tcMar>
              <w:top w:type="dxa" w:w="80"/>
              <w:left w:type="dxa" w:w="100"/>
              <w:bottom w:type="dxa" w:w="80"/>
              <w:right w:type="dxa" w:w="100"/>
            </w:tcMar>
            <w:vAlign w:val="center"/>
          </w:tcPr>
          <w:p>
            <w:r>
              <w:rPr>
                <w:b w:val="false"/>
                <w:bCs w:val="false"/>
                <w:color w:val="000000"/>
                <w:sz w:val="19"/>
                <w:szCs w:val="19"/>
              </w:rPr>
              <w:t xml:space="preserve">Analysis-ready</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Corrected, cloud-masked, COG-converted rasters</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MinIO processed/</w:t>
            </w:r>
          </w:p>
        </w:tc>
        <w:tc>
          <w:tcPr>
            <w:tcW w:type="dxa" w:w="2500"/>
            <w:shd w:fill="EAF0EE" w:val="clear"/>
            <w:tcMar>
              <w:top w:type="dxa" w:w="80"/>
              <w:left w:type="dxa" w:w="100"/>
              <w:bottom w:type="dxa" w:w="80"/>
              <w:right w:type="dxa" w:w="100"/>
            </w:tcMar>
            <w:vAlign w:val="center"/>
          </w:tcPr>
          <w:p>
            <w:r>
              <w:rPr>
                <w:b w:val="false"/>
                <w:bCs w:val="false"/>
                <w:color w:val="000000"/>
                <w:sz w:val="19"/>
                <w:szCs w:val="19"/>
              </w:rPr>
              <w:t xml:space="preserve">Long-term archive</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Derived products</w:t>
            </w:r>
          </w:p>
        </w:tc>
        <w:tc>
          <w:tcPr>
            <w:tcW w:type="dxa" w:w="3400"/>
            <w:tcMar>
              <w:top w:type="dxa" w:w="80"/>
              <w:left w:type="dxa" w:w="100"/>
              <w:bottom w:type="dxa" w:w="80"/>
              <w:right w:type="dxa" w:w="100"/>
            </w:tcMar>
            <w:vAlign w:val="center"/>
          </w:tcPr>
          <w:p>
            <w:r>
              <w:rPr>
                <w:b w:val="false"/>
                <w:bCs w:val="false"/>
                <w:color w:val="000000"/>
                <w:sz w:val="19"/>
                <w:szCs w:val="19"/>
              </w:rPr>
              <w:t xml:space="preserve">NDVI/NDWI/SOC/land-cover/flood rasters, pyramids</w:t>
            </w:r>
          </w:p>
        </w:tc>
        <w:tc>
          <w:tcPr>
            <w:tcW w:type="dxa" w:w="2200"/>
            <w:tcMar>
              <w:top w:type="dxa" w:w="80"/>
              <w:left w:type="dxa" w:w="100"/>
              <w:bottom w:type="dxa" w:w="80"/>
              <w:right w:type="dxa" w:w="100"/>
            </w:tcMar>
            <w:vAlign w:val="center"/>
          </w:tcPr>
          <w:p>
            <w:r>
              <w:rPr>
                <w:b w:val="false"/>
                <w:bCs w:val="false"/>
                <w:color w:val="000000"/>
                <w:sz w:val="19"/>
                <w:szCs w:val="19"/>
              </w:rPr>
              <w:t xml:space="preserve">MinIO derived/</w:t>
            </w:r>
          </w:p>
        </w:tc>
        <w:tc>
          <w:tcPr>
            <w:tcW w:type="dxa" w:w="2500"/>
            <w:tcMar>
              <w:top w:type="dxa" w:w="80"/>
              <w:left w:type="dxa" w:w="100"/>
              <w:bottom w:type="dxa" w:w="80"/>
              <w:right w:type="dxa" w:w="100"/>
            </w:tcMar>
            <w:vAlign w:val="center"/>
          </w:tcPr>
          <w:p>
            <w:r>
              <w:rPr>
                <w:b w:val="false"/>
                <w:bCs w:val="false"/>
                <w:color w:val="000000"/>
                <w:sz w:val="19"/>
                <w:szCs w:val="19"/>
              </w:rPr>
              <w:t xml:space="preserve">Long-term archive</w:t>
            </w:r>
          </w:p>
        </w:tc>
      </w:tr>
      <w:tr>
        <w:tc>
          <w:tcPr>
            <w:tcW w:type="dxa" w:w="1900"/>
            <w:shd w:fill="EAF0EE" w:val="clear"/>
            <w:tcMar>
              <w:top w:type="dxa" w:w="80"/>
              <w:left w:type="dxa" w:w="100"/>
              <w:bottom w:type="dxa" w:w="80"/>
              <w:right w:type="dxa" w:w="100"/>
            </w:tcMar>
            <w:vAlign w:val="center"/>
          </w:tcPr>
          <w:p>
            <w:r>
              <w:rPr>
                <w:b w:val="false"/>
                <w:bCs w:val="false"/>
                <w:color w:val="000000"/>
                <w:sz w:val="19"/>
                <w:szCs w:val="19"/>
              </w:rPr>
              <w:t xml:space="preserve">Vector / stats</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Zonal stats, time series, polygons, catalog</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PostgreSQL/PostGIS</w:t>
            </w:r>
          </w:p>
        </w:tc>
        <w:tc>
          <w:tcPr>
            <w:tcW w:type="dxa" w:w="2500"/>
            <w:shd w:fill="EAF0EE" w:val="clear"/>
            <w:tcMar>
              <w:top w:type="dxa" w:w="80"/>
              <w:left w:type="dxa" w:w="100"/>
              <w:bottom w:type="dxa" w:w="80"/>
              <w:right w:type="dxa" w:w="100"/>
            </w:tcMar>
            <w:vAlign w:val="center"/>
          </w:tcPr>
          <w:p>
            <w:r>
              <w:rPr>
                <w:b w:val="false"/>
                <w:bCs w:val="false"/>
                <w:color w:val="000000"/>
                <w:sz w:val="19"/>
                <w:szCs w:val="19"/>
              </w:rPr>
              <w:t xml:space="preserve">Long-term, indexed</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Cache</w:t>
            </w:r>
          </w:p>
        </w:tc>
        <w:tc>
          <w:tcPr>
            <w:tcW w:type="dxa" w:w="3400"/>
            <w:tcMar>
              <w:top w:type="dxa" w:w="80"/>
              <w:left w:type="dxa" w:w="100"/>
              <w:bottom w:type="dxa" w:w="80"/>
              <w:right w:type="dxa" w:w="100"/>
            </w:tcMar>
            <w:vAlign w:val="center"/>
          </w:tcPr>
          <w:p>
            <w:r>
              <w:rPr>
                <w:b w:val="false"/>
                <w:bCs w:val="false"/>
                <w:color w:val="000000"/>
                <w:sz w:val="19"/>
                <w:szCs w:val="19"/>
              </w:rPr>
              <w:t xml:space="preserve">Rendered tiles, hot stats queries, tokens</w:t>
            </w:r>
          </w:p>
        </w:tc>
        <w:tc>
          <w:tcPr>
            <w:tcW w:type="dxa" w:w="2200"/>
            <w:tcMar>
              <w:top w:type="dxa" w:w="80"/>
              <w:left w:type="dxa" w:w="100"/>
              <w:bottom w:type="dxa" w:w="80"/>
              <w:right w:type="dxa" w:w="100"/>
            </w:tcMar>
            <w:vAlign w:val="center"/>
          </w:tcPr>
          <w:p>
            <w:r>
              <w:rPr>
                <w:b w:val="false"/>
                <w:bCs w:val="false"/>
                <w:color w:val="000000"/>
                <w:sz w:val="19"/>
                <w:szCs w:val="19"/>
              </w:rPr>
              <w:t xml:space="preserve">Redis</w:t>
            </w:r>
          </w:p>
        </w:tc>
        <w:tc>
          <w:tcPr>
            <w:tcW w:type="dxa" w:w="2500"/>
            <w:tcMar>
              <w:top w:type="dxa" w:w="80"/>
              <w:left w:type="dxa" w:w="100"/>
              <w:bottom w:type="dxa" w:w="80"/>
              <w:right w:type="dxa" w:w="100"/>
            </w:tcMar>
            <w:vAlign w:val="center"/>
          </w:tcPr>
          <w:p>
            <w:r>
              <w:rPr>
                <w:b w:val="false"/>
                <w:bCs w:val="false"/>
                <w:color w:val="000000"/>
                <w:sz w:val="19"/>
                <w:szCs w:val="19"/>
              </w:rPr>
              <w:t xml:space="preserve">TTL: hours to days</w:t>
            </w:r>
          </w:p>
        </w:tc>
      </w:tr>
      <w:tr>
        <w:tc>
          <w:tcPr>
            <w:tcW w:type="dxa" w:w="1900"/>
            <w:shd w:fill="EAF0EE" w:val="clear"/>
            <w:tcMar>
              <w:top w:type="dxa" w:w="80"/>
              <w:left w:type="dxa" w:w="100"/>
              <w:bottom w:type="dxa" w:w="80"/>
              <w:right w:type="dxa" w:w="100"/>
            </w:tcMar>
            <w:vAlign w:val="center"/>
          </w:tcPr>
          <w:p>
            <w:r>
              <w:rPr>
                <w:b w:val="false"/>
                <w:bCs w:val="false"/>
                <w:color w:val="000000"/>
                <w:sz w:val="19"/>
                <w:szCs w:val="19"/>
              </w:rPr>
              <w:t xml:space="preserve">Exports</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User-requested GeoTIFF/CSV/PDF bundles</w:t>
            </w:r>
          </w:p>
        </w:tc>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MinIO exports/</w:t>
            </w:r>
          </w:p>
        </w:tc>
        <w:tc>
          <w:tcPr>
            <w:tcW w:type="dxa" w:w="2500"/>
            <w:shd w:fill="EAF0EE" w:val="clear"/>
            <w:tcMar>
              <w:top w:type="dxa" w:w="80"/>
              <w:left w:type="dxa" w:w="100"/>
              <w:bottom w:type="dxa" w:w="80"/>
              <w:right w:type="dxa" w:w="100"/>
            </w:tcMar>
            <w:vAlign w:val="center"/>
          </w:tcPr>
          <w:p>
            <w:r>
              <w:rPr>
                <w:b w:val="false"/>
                <w:bCs w:val="false"/>
                <w:color w:val="000000"/>
                <w:sz w:val="19"/>
                <w:szCs w:val="19"/>
              </w:rPr>
              <w:t xml:space="preserve">Short TTL, signed URLs</w:t>
            </w:r>
          </w:p>
        </w:tc>
      </w:tr>
    </w:tbl>
    <w:p>
      <w:pPr>
        <w:pStyle w:val="Heading2"/>
        <w:spacing w:after="150" w:before="300"/>
      </w:pPr>
      <w:r>
        <w:t xml:space="preserve">5.2 Object Storage (MinIO)</w:t>
      </w:r>
    </w:p>
    <w:p>
      <w:pPr>
        <w:spacing w:after="160" w:line="276"/>
        <w:jc w:val="both"/>
      </w:pPr>
      <w:r>
        <w:rPr>
          <w:sz w:val="22"/>
          <w:szCs w:val="22"/>
        </w:rPr>
        <w:t xml:space="preserve">Bucket-per-layer with a prefix-per-tile-per-date key design, e.g. processed/S2/T44RQR/2026-07-10/B08_10m.tif, making prefix listing and lifecycle rules straightforward. Versioning is enabled on the derived/ bucket to allow rollback of bad reprocessing runs. The platform begins on self-hosted MinIO in distributed erasure-coded mode and migrates to S3-compatible cloud storage as durability and multi-region requirements grow — the API surface is identical, so this is a configuration change rather than a rewrite.</w:t>
      </w:r>
    </w:p>
    <w:p>
      <w:pPr>
        <w:pStyle w:val="Heading2"/>
        <w:spacing w:after="150" w:before="300"/>
      </w:pPr>
      <w:r>
        <w:t xml:space="preserve">5.3 Raw vs. Processed Storage</w:t>
      </w:r>
    </w:p>
    <w:p>
      <w:pPr>
        <w:spacing w:after="160" w:line="276"/>
        <w:jc w:val="both"/>
      </w:pPr>
      <w:r>
        <w:rPr>
          <w:sz w:val="22"/>
          <w:szCs w:val="22"/>
        </w:rPr>
        <w:t xml:space="preserve">Raw data is stored at native resolution/compression as delivered, preserving reprocessing fidelity. Processed data is stored as Cloud-Optimized GeoTIFF, internally tiled at 512x512, with overviews generated at creation time rather than as a lazy secondary step.</w:t>
      </w:r>
    </w:p>
    <w:p>
      <w:pPr>
        <w:pStyle w:val="Heading2"/>
        <w:spacing w:after="150" w:before="300"/>
      </w:pPr>
      <w:r>
        <w:t xml:space="preserve">5.4 PostgreSQL / PostGIS Core Schema</w:t>
      </w:r>
    </w:p>
    <w:p>
      <w:pPr>
        <w:shd w:fill="F2F2F2" w:val="clear"/>
        <w:spacing w:after="0"/>
      </w:pPr>
      <w:r>
        <w:rPr>
          <w:rFonts w:ascii="Consolas" w:cs="Consolas" w:eastAsia="Consolas" w:hAnsi="Consolas"/>
          <w:sz w:val="17"/>
          <w:szCs w:val="17"/>
        </w:rPr>
        <w:t xml:space="preserve">-- Catalog of every satellite product Vyom has seen</w:t>
      </w:r>
    </w:p>
    <w:p>
      <w:pPr>
        <w:shd w:fill="F2F2F2" w:val="clear"/>
        <w:spacing w:after="0"/>
      </w:pPr>
      <w:r>
        <w:rPr>
          <w:rFonts w:ascii="Consolas" w:cs="Consolas" w:eastAsia="Consolas" w:hAnsi="Consolas"/>
          <w:sz w:val="17"/>
          <w:szCs w:val="17"/>
        </w:rPr>
        <w:t xml:space="preserve">CREATE TABLE catalog_products (</w:t>
      </w:r>
    </w:p>
    <w:p>
      <w:pPr>
        <w:shd w:fill="F2F2F2" w:val="clear"/>
        <w:spacing w:after="0"/>
      </w:pPr>
      <w:r>
        <w:rPr>
          <w:rFonts w:ascii="Consolas" w:cs="Consolas" w:eastAsia="Consolas" w:hAnsi="Consolas"/>
          <w:sz w:val="17"/>
          <w:szCs w:val="17"/>
        </w:rPr>
        <w:t xml:space="preserve">    id                  UUID PRIMARY KEY DEFAULT gen_random_uuid(),</w:t>
      </w:r>
    </w:p>
    <w:p>
      <w:pPr>
        <w:shd w:fill="F2F2F2" w:val="clear"/>
        <w:spacing w:after="0"/>
      </w:pPr>
      <w:r>
        <w:rPr>
          <w:rFonts w:ascii="Consolas" w:cs="Consolas" w:eastAsia="Consolas" w:hAnsi="Consolas"/>
          <w:sz w:val="17"/>
          <w:szCs w:val="17"/>
        </w:rPr>
        <w:t xml:space="preserve">    collection          TEXT NOT NULL,          -- 'S2MSI2A', 'S1GRD', etc.</w:t>
      </w:r>
    </w:p>
    <w:p>
      <w:pPr>
        <w:shd w:fill="F2F2F2" w:val="clear"/>
        <w:spacing w:after="0"/>
      </w:pPr>
      <w:r>
        <w:rPr>
          <w:rFonts w:ascii="Consolas" w:cs="Consolas" w:eastAsia="Consolas" w:hAnsi="Consolas"/>
          <w:sz w:val="17"/>
          <w:szCs w:val="17"/>
        </w:rPr>
        <w:t xml:space="preserve">    product_id          TEXT UNIQUE NOT NULL,     -- Copernicus product ID</w:t>
      </w:r>
    </w:p>
    <w:p>
      <w:pPr>
        <w:shd w:fill="F2F2F2" w:val="clear"/>
        <w:spacing w:after="0"/>
      </w:pPr>
      <w:r>
        <w:rPr>
          <w:rFonts w:ascii="Consolas" w:cs="Consolas" w:eastAsia="Consolas" w:hAnsi="Consolas"/>
          <w:sz w:val="17"/>
          <w:szCs w:val="17"/>
        </w:rPr>
        <w:t xml:space="preserve">    tile_id             TEXT NOT NULL,            -- MGRS or frame ID</w:t>
      </w:r>
    </w:p>
    <w:p>
      <w:pPr>
        <w:shd w:fill="F2F2F2" w:val="clear"/>
        <w:spacing w:after="0"/>
      </w:pPr>
      <w:r>
        <w:rPr>
          <w:rFonts w:ascii="Consolas" w:cs="Consolas" w:eastAsia="Consolas" w:hAnsi="Consolas"/>
          <w:sz w:val="17"/>
          <w:szCs w:val="17"/>
        </w:rPr>
        <w:t xml:space="preserve">    acquisition_date    TIMESTAMPTZ NOT NULL,</w:t>
      </w:r>
    </w:p>
    <w:p>
      <w:pPr>
        <w:shd w:fill="F2F2F2" w:val="clear"/>
        <w:spacing w:after="0"/>
      </w:pPr>
      <w:r>
        <w:rPr>
          <w:rFonts w:ascii="Consolas" w:cs="Consolas" w:eastAsia="Consolas" w:hAnsi="Consolas"/>
          <w:sz w:val="17"/>
          <w:szCs w:val="17"/>
        </w:rPr>
        <w:t xml:space="preserve">    cloud_cover         NUMERIC,</w:t>
      </w:r>
    </w:p>
    <w:p>
      <w:pPr>
        <w:shd w:fill="F2F2F2" w:val="clear"/>
        <w:spacing w:after="0"/>
      </w:pPr>
      <w:r>
        <w:rPr>
          <w:rFonts w:ascii="Consolas" w:cs="Consolas" w:eastAsia="Consolas" w:hAnsi="Consolas"/>
          <w:sz w:val="17"/>
          <w:szCs w:val="17"/>
        </w:rPr>
        <w:t xml:space="preserve">    processing_baseline TEXT,</w:t>
      </w:r>
    </w:p>
    <w:p>
      <w:pPr>
        <w:shd w:fill="F2F2F2" w:val="clear"/>
        <w:spacing w:after="0"/>
      </w:pPr>
      <w:r>
        <w:rPr>
          <w:rFonts w:ascii="Consolas" w:cs="Consolas" w:eastAsia="Consolas" w:hAnsi="Consolas"/>
          <w:sz w:val="17"/>
          <w:szCs w:val="17"/>
        </w:rPr>
        <w:t xml:space="preserve">    footprint           GEOMETRY(Polygon, 4326) NOT NULL,</w:t>
      </w:r>
    </w:p>
    <w:p>
      <w:pPr>
        <w:shd w:fill="F2F2F2" w:val="clear"/>
        <w:spacing w:after="0"/>
      </w:pPr>
      <w:r>
        <w:rPr>
          <w:rFonts w:ascii="Consolas" w:cs="Consolas" w:eastAsia="Consolas" w:hAnsi="Consolas"/>
          <w:sz w:val="17"/>
          <w:szCs w:val="17"/>
        </w:rPr>
        <w:t xml:space="preserve">    status              TEXT NOT NULL DEFAULT 'discovered',</w:t>
      </w:r>
    </w:p>
    <w:p>
      <w:pPr>
        <w:shd w:fill="F2F2F2" w:val="clear"/>
        <w:spacing w:after="0"/>
      </w:pPr>
      <w:r>
        <w:rPr>
          <w:rFonts w:ascii="Consolas" w:cs="Consolas" w:eastAsia="Consolas" w:hAnsi="Consolas"/>
          <w:sz w:val="17"/>
          <w:szCs w:val="17"/>
        </w:rPr>
        <w:t xml:space="preserve">    raw_object_key      TEXT,</w:t>
      </w:r>
    </w:p>
    <w:p>
      <w:pPr>
        <w:shd w:fill="F2F2F2" w:val="clear"/>
        <w:spacing w:after="0"/>
      </w:pPr>
      <w:r>
        <w:rPr>
          <w:rFonts w:ascii="Consolas" w:cs="Consolas" w:eastAsia="Consolas" w:hAnsi="Consolas"/>
          <w:sz w:val="17"/>
          <w:szCs w:val="17"/>
        </w:rPr>
        <w:t xml:space="preserve">    created_at          TIMESTAMPTZ DEFAULT now()</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CREATE INDEX idx_catalog_footprint ON catalog_products USING GIST (footprint);</w:t>
      </w:r>
    </w:p>
    <w:p>
      <w:pPr>
        <w:shd w:fill="F2F2F2" w:val="clear"/>
        <w:spacing w:after="0"/>
      </w:pPr>
      <w:r>
        <w:rPr>
          <w:rFonts w:ascii="Consolas" w:cs="Consolas" w:eastAsia="Consolas" w:hAnsi="Consolas"/>
          <w:sz w:val="17"/>
          <w:szCs w:val="17"/>
        </w:rPr>
        <w:t xml:space="preserve">CREATE INDEX idx_catalog_tile_date ON catalog_products (tile_id, acquisition_date);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User / tenant polygons, partitioned by tenant at scale</w:t>
      </w:r>
    </w:p>
    <w:p>
      <w:pPr>
        <w:shd w:fill="F2F2F2" w:val="clear"/>
        <w:spacing w:after="0"/>
      </w:pPr>
      <w:r>
        <w:rPr>
          <w:rFonts w:ascii="Consolas" w:cs="Consolas" w:eastAsia="Consolas" w:hAnsi="Consolas"/>
          <w:sz w:val="17"/>
          <w:szCs w:val="17"/>
        </w:rPr>
        <w:t xml:space="preserve">CREATE TABLE polygons (</w:t>
      </w:r>
    </w:p>
    <w:p>
      <w:pPr>
        <w:shd w:fill="F2F2F2" w:val="clear"/>
        <w:spacing w:after="0"/>
      </w:pPr>
      <w:r>
        <w:rPr>
          <w:rFonts w:ascii="Consolas" w:cs="Consolas" w:eastAsia="Consolas" w:hAnsi="Consolas"/>
          <w:sz w:val="17"/>
          <w:szCs w:val="17"/>
        </w:rPr>
        <w:t xml:space="preserve">    id          UUID PRIMARY KEY DEFAULT gen_random_uuid(),</w:t>
      </w:r>
    </w:p>
    <w:p>
      <w:pPr>
        <w:shd w:fill="F2F2F2" w:val="clear"/>
        <w:spacing w:after="0"/>
      </w:pPr>
      <w:r>
        <w:rPr>
          <w:rFonts w:ascii="Consolas" w:cs="Consolas" w:eastAsia="Consolas" w:hAnsi="Consolas"/>
          <w:sz w:val="17"/>
          <w:szCs w:val="17"/>
        </w:rPr>
        <w:t xml:space="preserve">    tenant_id   UUID NOT NULL,</w:t>
      </w:r>
    </w:p>
    <w:p>
      <w:pPr>
        <w:shd w:fill="F2F2F2" w:val="clear"/>
        <w:spacing w:after="0"/>
      </w:pPr>
      <w:r>
        <w:rPr>
          <w:rFonts w:ascii="Consolas" w:cs="Consolas" w:eastAsia="Consolas" w:hAnsi="Consolas"/>
          <w:sz w:val="17"/>
          <w:szCs w:val="17"/>
        </w:rPr>
        <w:t xml:space="preserve">    user_id     UUID NOT NULL,</w:t>
      </w:r>
    </w:p>
    <w:p>
      <w:pPr>
        <w:shd w:fill="F2F2F2" w:val="clear"/>
        <w:spacing w:after="0"/>
      </w:pPr>
      <w:r>
        <w:rPr>
          <w:rFonts w:ascii="Consolas" w:cs="Consolas" w:eastAsia="Consolas" w:hAnsi="Consolas"/>
          <w:sz w:val="17"/>
          <w:szCs w:val="17"/>
        </w:rPr>
        <w:t xml:space="preserve">    name        TEXT,</w:t>
      </w:r>
    </w:p>
    <w:p>
      <w:pPr>
        <w:shd w:fill="F2F2F2" w:val="clear"/>
        <w:spacing w:after="0"/>
      </w:pPr>
      <w:r>
        <w:rPr>
          <w:rFonts w:ascii="Consolas" w:cs="Consolas" w:eastAsia="Consolas" w:hAnsi="Consolas"/>
          <w:sz w:val="17"/>
          <w:szCs w:val="17"/>
        </w:rPr>
        <w:t xml:space="preserve">    geom        GEOMETRY(Polygon, 4326) NOT NULL,</w:t>
      </w:r>
    </w:p>
    <w:p>
      <w:pPr>
        <w:shd w:fill="F2F2F2" w:val="clear"/>
        <w:spacing w:after="0"/>
      </w:pPr>
      <w:r>
        <w:rPr>
          <w:rFonts w:ascii="Consolas" w:cs="Consolas" w:eastAsia="Consolas" w:hAnsi="Consolas"/>
          <w:sz w:val="17"/>
          <w:szCs w:val="17"/>
        </w:rPr>
        <w:t xml:space="preserve">    area_ha     NUMERIC,</w:t>
      </w:r>
    </w:p>
    <w:p>
      <w:pPr>
        <w:shd w:fill="F2F2F2" w:val="clear"/>
        <w:spacing w:after="0"/>
      </w:pPr>
      <w:r>
        <w:rPr>
          <w:rFonts w:ascii="Consolas" w:cs="Consolas" w:eastAsia="Consolas" w:hAnsi="Consolas"/>
          <w:sz w:val="17"/>
          <w:szCs w:val="17"/>
        </w:rPr>
        <w:t xml:space="preserve">    crop_type   TEXT,</w:t>
      </w:r>
    </w:p>
    <w:p>
      <w:pPr>
        <w:shd w:fill="F2F2F2" w:val="clear"/>
        <w:spacing w:after="0"/>
      </w:pPr>
      <w:r>
        <w:rPr>
          <w:rFonts w:ascii="Consolas" w:cs="Consolas" w:eastAsia="Consolas" w:hAnsi="Consolas"/>
          <w:sz w:val="17"/>
          <w:szCs w:val="17"/>
        </w:rPr>
        <w:t xml:space="preserve">    created_at  TIMESTAMPTZ DEFAULT now()</w:t>
      </w:r>
    </w:p>
    <w:p>
      <w:pPr>
        <w:shd w:fill="F2F2F2" w:val="clear"/>
        <w:spacing w:after="0"/>
      </w:pPr>
      <w:r>
        <w:rPr>
          <w:rFonts w:ascii="Consolas" w:cs="Consolas" w:eastAsia="Consolas" w:hAnsi="Consolas"/>
          <w:sz w:val="17"/>
          <w:szCs w:val="17"/>
        </w:rPr>
        <w:t xml:space="preserve">) PARTITION BY HASH (tenant_id);</w:t>
      </w:r>
    </w:p>
    <w:p>
      <w:pPr>
        <w:shd w:fill="F2F2F2" w:val="clear"/>
        <w:spacing w:after="0"/>
      </w:pPr>
      <w:r>
        <w:rPr>
          <w:rFonts w:ascii="Consolas" w:cs="Consolas" w:eastAsia="Consolas" w:hAnsi="Consolas"/>
          <w:sz w:val="17"/>
          <w:szCs w:val="17"/>
        </w:rPr>
        <w:t xml:space="preserve">CREATE INDEX idx_polygons_geom ON polygons USING GIST (geom);</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Precomputed polygon &lt;-&gt; tile intersection</w:t>
      </w:r>
    </w:p>
    <w:p>
      <w:pPr>
        <w:shd w:fill="F2F2F2" w:val="clear"/>
        <w:spacing w:after="0"/>
      </w:pPr>
      <w:r>
        <w:rPr>
          <w:rFonts w:ascii="Consolas" w:cs="Consolas" w:eastAsia="Consolas" w:hAnsi="Consolas"/>
          <w:sz w:val="17"/>
          <w:szCs w:val="17"/>
        </w:rPr>
        <w:t xml:space="preserve">CREATE TABLE polygon_tile_map (</w:t>
      </w:r>
    </w:p>
    <w:p>
      <w:pPr>
        <w:shd w:fill="F2F2F2" w:val="clear"/>
        <w:spacing w:after="0"/>
      </w:pPr>
      <w:r>
        <w:rPr>
          <w:rFonts w:ascii="Consolas" w:cs="Consolas" w:eastAsia="Consolas" w:hAnsi="Consolas"/>
          <w:sz w:val="17"/>
          <w:szCs w:val="17"/>
        </w:rPr>
        <w:t xml:space="preserve">    polygon_id  UUID REFERENCES polygons(id) ON DELETE CASCADE,</w:t>
      </w:r>
    </w:p>
    <w:p>
      <w:pPr>
        <w:shd w:fill="F2F2F2" w:val="clear"/>
        <w:spacing w:after="0"/>
      </w:pPr>
      <w:r>
        <w:rPr>
          <w:rFonts w:ascii="Consolas" w:cs="Consolas" w:eastAsia="Consolas" w:hAnsi="Consolas"/>
          <w:sz w:val="17"/>
          <w:szCs w:val="17"/>
        </w:rPr>
        <w:t xml:space="preserve">    tile_id     TEXT NOT NULL,</w:t>
      </w:r>
    </w:p>
    <w:p>
      <w:pPr>
        <w:shd w:fill="F2F2F2" w:val="clear"/>
        <w:spacing w:after="0"/>
      </w:pPr>
      <w:r>
        <w:rPr>
          <w:rFonts w:ascii="Consolas" w:cs="Consolas" w:eastAsia="Consolas" w:hAnsi="Consolas"/>
          <w:sz w:val="17"/>
          <w:szCs w:val="17"/>
        </w:rPr>
        <w:t xml:space="preserve">    PRIMARY KEY (polygon_id, tile_id)</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CREATE INDEX idx_ptm_tile ON polygon_tile_map (tile_id);</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Zonal statistics: one row per polygon per product per metric</w:t>
      </w:r>
    </w:p>
    <w:p>
      <w:pPr>
        <w:shd w:fill="F2F2F2" w:val="clear"/>
        <w:spacing w:after="0"/>
      </w:pPr>
      <w:r>
        <w:rPr>
          <w:rFonts w:ascii="Consolas" w:cs="Consolas" w:eastAsia="Consolas" w:hAnsi="Consolas"/>
          <w:sz w:val="17"/>
          <w:szCs w:val="17"/>
        </w:rPr>
        <w:t xml:space="preserve">CREATE TABLE zonal_stats (</w:t>
      </w:r>
    </w:p>
    <w:p>
      <w:pPr>
        <w:shd w:fill="F2F2F2" w:val="clear"/>
        <w:spacing w:after="0"/>
      </w:pPr>
      <w:r>
        <w:rPr>
          <w:rFonts w:ascii="Consolas" w:cs="Consolas" w:eastAsia="Consolas" w:hAnsi="Consolas"/>
          <w:sz w:val="17"/>
          <w:szCs w:val="17"/>
        </w:rPr>
        <w:t xml:space="preserve">    id               BIGSERIAL PRIMARY KEY,</w:t>
      </w:r>
    </w:p>
    <w:p>
      <w:pPr>
        <w:shd w:fill="F2F2F2" w:val="clear"/>
        <w:spacing w:after="0"/>
      </w:pPr>
      <w:r>
        <w:rPr>
          <w:rFonts w:ascii="Consolas" w:cs="Consolas" w:eastAsia="Consolas" w:hAnsi="Consolas"/>
          <w:sz w:val="17"/>
          <w:szCs w:val="17"/>
        </w:rPr>
        <w:t xml:space="preserve">    polygon_id       UUID NOT NULL,</w:t>
      </w:r>
    </w:p>
    <w:p>
      <w:pPr>
        <w:shd w:fill="F2F2F2" w:val="clear"/>
        <w:spacing w:after="0"/>
      </w:pPr>
      <w:r>
        <w:rPr>
          <w:rFonts w:ascii="Consolas" w:cs="Consolas" w:eastAsia="Consolas" w:hAnsi="Consolas"/>
          <w:sz w:val="17"/>
          <w:szCs w:val="17"/>
        </w:rPr>
        <w:t xml:space="preserve">    product_id       UUID NOT NULL REFERENCES catalog_products(id),</w:t>
      </w:r>
    </w:p>
    <w:p>
      <w:pPr>
        <w:shd w:fill="F2F2F2" w:val="clear"/>
        <w:spacing w:after="0"/>
      </w:pPr>
      <w:r>
        <w:rPr>
          <w:rFonts w:ascii="Consolas" w:cs="Consolas" w:eastAsia="Consolas" w:hAnsi="Consolas"/>
          <w:sz w:val="17"/>
          <w:szCs w:val="17"/>
        </w:rPr>
        <w:t xml:space="preserve">    acquisition_date TIMESTAMPTZ NOT NULL,</w:t>
      </w:r>
    </w:p>
    <w:p>
      <w:pPr>
        <w:shd w:fill="F2F2F2" w:val="clear"/>
        <w:spacing w:after="0"/>
      </w:pPr>
      <w:r>
        <w:rPr>
          <w:rFonts w:ascii="Consolas" w:cs="Consolas" w:eastAsia="Consolas" w:hAnsi="Consolas"/>
          <w:sz w:val="17"/>
          <w:szCs w:val="17"/>
        </w:rPr>
        <w:t xml:space="preserve">    metric           TEXT NOT NULL,      -- 'NDVI_mean', 'NDWI_std', etc.</w:t>
      </w:r>
    </w:p>
    <w:p>
      <w:pPr>
        <w:shd w:fill="F2F2F2" w:val="clear"/>
        <w:spacing w:after="0"/>
      </w:pPr>
      <w:r>
        <w:rPr>
          <w:rFonts w:ascii="Consolas" w:cs="Consolas" w:eastAsia="Consolas" w:hAnsi="Consolas"/>
          <w:sz w:val="17"/>
          <w:szCs w:val="17"/>
        </w:rPr>
        <w:t xml:space="preserve">    value            DOUBLE PRECISION,</w:t>
      </w:r>
    </w:p>
    <w:p>
      <w:pPr>
        <w:shd w:fill="F2F2F2" w:val="clear"/>
        <w:spacing w:after="0"/>
      </w:pPr>
      <w:r>
        <w:rPr>
          <w:rFonts w:ascii="Consolas" w:cs="Consolas" w:eastAsia="Consolas" w:hAnsi="Consolas"/>
          <w:sz w:val="17"/>
          <w:szCs w:val="17"/>
        </w:rPr>
        <w:t xml:space="preserve">    pixel_count      INT,</w:t>
      </w:r>
    </w:p>
    <w:p>
      <w:pPr>
        <w:shd w:fill="F2F2F2" w:val="clear"/>
        <w:spacing w:after="0"/>
      </w:pPr>
      <w:r>
        <w:rPr>
          <w:rFonts w:ascii="Consolas" w:cs="Consolas" w:eastAsia="Consolas" w:hAnsi="Consolas"/>
          <w:sz w:val="17"/>
          <w:szCs w:val="17"/>
        </w:rPr>
        <w:t xml:space="preserve">    cloud_pct        NUMERIC</w:t>
      </w:r>
    </w:p>
    <w:p>
      <w:pPr>
        <w:shd w:fill="F2F2F2" w:val="clear"/>
        <w:spacing w:after="0"/>
      </w:pPr>
      <w:r>
        <w:rPr>
          <w:rFonts w:ascii="Consolas" w:cs="Consolas" w:eastAsia="Consolas" w:hAnsi="Consolas"/>
          <w:sz w:val="17"/>
          <w:szCs w:val="17"/>
        </w:rPr>
        <w:t xml:space="preserve">) PARTITION BY RANGE (acquisition_date);</w:t>
      </w:r>
    </w:p>
    <w:p>
      <w:pPr>
        <w:shd w:fill="F2F2F2" w:val="clear"/>
        <w:spacing w:after="200"/>
      </w:pPr>
      <w:r>
        <w:rPr>
          <w:rFonts w:ascii="Consolas" w:cs="Consolas" w:eastAsia="Consolas" w:hAnsi="Consolas"/>
          <w:sz w:val="17"/>
          <w:szCs w:val="17"/>
        </w:rPr>
        <w:t xml:space="preserve">CREATE INDEX idx_zstats_polygon_date ON zonal_stats (polygon_id, acquisition_date);</w:t>
      </w:r>
    </w:p>
    <w:p>
      <w:pPr>
        <w:pStyle w:val="Heading2"/>
        <w:spacing w:after="150" w:before="300"/>
      </w:pPr>
      <w:r>
        <w:t xml:space="preserve">5.5 Spatial Indexing Strategy</w:t>
      </w:r>
    </w:p>
    <w:p>
      <w:pPr>
        <w:pStyle w:val="ListParagraph"/>
        <w:numPr>
          <w:ilvl w:val="0"/>
          <w:numId w:val="2"/>
        </w:numPr>
        <w:spacing w:after="80"/>
        <w:jc w:val="both"/>
      </w:pPr>
      <w:r>
        <w:t xml:space="preserve">GiST indexes on every geometry column, without exception.</w:t>
      </w:r>
    </w:p>
    <w:p>
      <w:pPr>
        <w:pStyle w:val="ListParagraph"/>
        <w:numPr>
          <w:ilvl w:val="0"/>
          <w:numId w:val="2"/>
        </w:numPr>
        <w:spacing w:after="80"/>
        <w:jc w:val="both"/>
      </w:pPr>
      <w:r>
        <w:t xml:space="preserve">A static tile_grid reference table holds MGRS tile geometries, enabling polygon-to-tile joins as simple indexed spatial joins.</w:t>
      </w:r>
    </w:p>
    <w:p>
      <w:pPr>
        <w:pStyle w:val="ListParagraph"/>
        <w:numPr>
          <w:ilvl w:val="0"/>
          <w:numId w:val="2"/>
        </w:numPr>
        <w:spacing w:after="80"/>
        <w:jc w:val="both"/>
      </w:pPr>
      <w:r>
        <w:t xml:space="preserve">At 10-million-polygon scale, BRIN indexes on acquisition_date complement GiST geometry indexes on the statistics tables.</w:t>
      </w:r>
    </w:p>
    <w:p>
      <w:pPr>
        <w:pStyle w:val="Heading1"/>
        <w:pageBreakBefore/>
        <w:spacing w:after="200" w:before="400"/>
      </w:pPr>
      <w:r>
        <w:t xml:space="preserve">6. Caching &amp; Queue Architecture</w:t>
      </w:r>
    </w:p>
    <w:p>
      <w:pPr>
        <w:pStyle w:val="Heading2"/>
        <w:spacing w:after="150" w:before="300"/>
      </w:pPr>
      <w:r>
        <w:t xml:space="preserve">6.1 Redis Usage</w:t>
      </w:r>
    </w:p>
    <w:p>
      <w:pPr>
        <w:spacing w:after="160" w:line="276"/>
        <w:jc w:val="both"/>
      </w:pPr>
      <w:r>
        <w:rPr>
          <w:sz w:val="22"/>
          <w:szCs w:val="22"/>
        </w:rPr>
        <w:t xml:space="preserve">Redis serves four distinct purposes, logically separated (separate instances or DB numbers) because eviction policies differ:</w:t>
      </w:r>
    </w:p>
    <w:p>
      <w:pPr>
        <w:pStyle w:val="ListParagraph"/>
        <w:numPr>
          <w:ilvl w:val="0"/>
          <w:numId w:val="3"/>
        </w:numPr>
        <w:spacing w:after="80"/>
        <w:jc w:val="both"/>
      </w:pPr>
      <w:r>
        <w:t xml:space="preserve">Celery broker / result backend — no eviction, persistence on.</w:t>
      </w:r>
    </w:p>
    <w:p>
      <w:pPr>
        <w:pStyle w:val="ListParagraph"/>
        <w:numPr>
          <w:ilvl w:val="0"/>
          <w:numId w:val="3"/>
        </w:numPr>
        <w:spacing w:after="80"/>
        <w:jc w:val="both"/>
      </w:pPr>
      <w:r>
        <w:t xml:space="preserve">Rendered tile cache — keyed by layer/z/x/y/date, LRU eviction, TTL 24 hours to 7 days.</w:t>
      </w:r>
    </w:p>
    <w:p>
      <w:pPr>
        <w:pStyle w:val="ListParagraph"/>
        <w:numPr>
          <w:ilvl w:val="0"/>
          <w:numId w:val="3"/>
        </w:numPr>
        <w:spacing w:after="80"/>
        <w:jc w:val="both"/>
      </w:pPr>
      <w:r>
        <w:t xml:space="preserve">Hot statistics cache — recent time-series queries, TTL minutes to hours.</w:t>
      </w:r>
    </w:p>
    <w:p>
      <w:pPr>
        <w:pStyle w:val="ListParagraph"/>
        <w:numPr>
          <w:ilvl w:val="0"/>
          <w:numId w:val="3"/>
        </w:numPr>
        <w:spacing w:after="80"/>
        <w:jc w:val="both"/>
      </w:pPr>
      <w:r>
        <w:t xml:space="preserve">Rate limiting and PU budget counters — sliding-window counters per API key and per Copernicus account.</w:t>
      </w:r>
    </w:p>
    <w:p>
      <w:pPr>
        <w:pStyle w:val="Heading2"/>
        <w:spacing w:after="150" w:before="300"/>
      </w:pPr>
      <w:r>
        <w:t xml:space="preserve">6.2 Celery Workers &amp; Queue Design</w:t>
      </w:r>
    </w:p>
    <w:p>
      <w:pPr>
        <w:spacing w:after="160" w:line="276"/>
        <w:jc w:val="both"/>
      </w:pPr>
      <w:r>
        <w:rPr>
          <w:sz w:val="22"/>
          <w:szCs w:val="22"/>
        </w:rPr>
        <w:t xml:space="preserve">Workloads are separated into dedicated queues, each with its own worker pool and autoscaling policy: queue:download (I/O-bound), queue:process (CPU-bound GDAL/rasterio operations), queue:stats (shorter, high-concurrency CPU tasks), queue:ml (GPU-bound, dedicated node pool), and queue:export (mixed, low priority). Celery beat drives discovery polling; priority queues ensure paid-tier near-real-time jobs preempt backfill work.</w:t>
      </w:r>
    </w:p>
    <w:p>
      <w:pPr>
        <w:pStyle w:val="Heading2"/>
        <w:spacing w:after="150" w:before="300"/>
      </w:pPr>
      <w:r>
        <w:t xml:space="preserve">6.3 Horizontal Scaling &amp; Distributed Processing</w:t>
      </w:r>
    </w:p>
    <w:p>
      <w:pPr>
        <w:spacing w:after="160" w:line="276"/>
        <w:jc w:val="both"/>
      </w:pPr>
      <w:r>
        <w:rPr>
          <w:sz w:val="22"/>
          <w:szCs w:val="22"/>
        </w:rPr>
        <w:t xml:space="preserve">Processing workers are fully stateless: pull a tile ID, do the work, write to MinIO/Postgres, done — scaling is purely a matter of adding worker pods. Large backfills use a map-reduce-style fan-out, with a coordinator task enumerating (tile, date) pairs and an aggregator task triggering zonal-statistics computation once all bands for a date are ready.</w:t>
      </w:r>
    </w:p>
    <w:p>
      <w:pPr>
        <w:pStyle w:val="Heading1"/>
        <w:pageBreakBefore/>
        <w:spacing w:after="200" w:before="400"/>
      </w:pPr>
      <w:r>
        <w:t xml:space="preserve">7. Raster Processing Pipeline</w:t>
      </w:r>
    </w:p>
    <w:p>
      <w:pPr>
        <w:pStyle w:val="Heading2"/>
        <w:spacing w:after="150" w:before="300"/>
      </w:pPr>
      <w:r>
        <w:t xml:space="preserve">7.1 Tile-Based Processing Loop</w:t>
      </w:r>
    </w:p>
    <w:p>
      <w:pPr>
        <w:pStyle w:val="ListParagraph"/>
        <w:numPr>
          <w:ilvl w:val="0"/>
          <w:numId w:val="3"/>
        </w:numPr>
        <w:spacing w:after="80"/>
        <w:jc w:val="both"/>
      </w:pPr>
      <w:r>
        <w:t xml:space="preserve">Decode JP2/band data via GDAL/Rasterio.</w:t>
      </w:r>
    </w:p>
    <w:p>
      <w:pPr>
        <w:pStyle w:val="ListParagraph"/>
        <w:numPr>
          <w:ilvl w:val="0"/>
          <w:numId w:val="3"/>
        </w:numPr>
        <w:spacing w:after="80"/>
        <w:jc w:val="both"/>
      </w:pPr>
      <w:r>
        <w:t xml:space="preserve">Apply cloud masking using the Scene Classification Layer (L2A) or s2cloudless (L1C).</w:t>
      </w:r>
    </w:p>
    <w:p>
      <w:pPr>
        <w:pStyle w:val="ListParagraph"/>
        <w:numPr>
          <w:ilvl w:val="0"/>
          <w:numId w:val="3"/>
        </w:numPr>
        <w:spacing w:after="80"/>
        <w:jc w:val="both"/>
      </w:pPr>
      <w:r>
        <w:t xml:space="preserve">Compute spectral indices (NDVI, NDWI, SOC-proxy, etc.) as individually addressable single-band COGs.</w:t>
      </w:r>
    </w:p>
    <w:p>
      <w:pPr>
        <w:pStyle w:val="ListParagraph"/>
        <w:numPr>
          <w:ilvl w:val="0"/>
          <w:numId w:val="3"/>
        </w:numPr>
        <w:spacing w:after="80"/>
        <w:jc w:val="both"/>
      </w:pPr>
      <w:r>
        <w:t xml:space="preserve">Reproject/align to a consistent CRS per AOI region where multi-sensor fusion is required.</w:t>
      </w:r>
    </w:p>
    <w:p>
      <w:pPr>
        <w:pStyle w:val="ListParagraph"/>
        <w:numPr>
          <w:ilvl w:val="0"/>
          <w:numId w:val="3"/>
        </w:numPr>
        <w:spacing w:after="80"/>
        <w:jc w:val="both"/>
      </w:pPr>
      <w:r>
        <w:t xml:space="preserve">Convert to Cloud-Optimized GeoTIFF with internal 512x512 tiling and baked-in overviews.</w:t>
      </w:r>
    </w:p>
    <w:p>
      <w:pPr>
        <w:pStyle w:val="ListParagraph"/>
        <w:numPr>
          <w:ilvl w:val="0"/>
          <w:numId w:val="3"/>
        </w:numPr>
        <w:spacing w:after="80"/>
        <w:jc w:val="both"/>
      </w:pPr>
      <w:r>
        <w:t xml:space="preserve">Write to MinIO derived/ and register as 'processed' in the catalog.</w:t>
      </w:r>
    </w:p>
    <w:p>
      <w:pPr>
        <w:pStyle w:val="ListParagraph"/>
        <w:numPr>
          <w:ilvl w:val="0"/>
          <w:numId w:val="3"/>
        </w:numPr>
        <w:spacing w:after="80"/>
        <w:jc w:val="both"/>
      </w:pPr>
      <w:r>
        <w:t xml:space="preserve">Trigger the zonal-stats engine for the newly processed tile.</w:t>
      </w:r>
    </w:p>
    <w:p>
      <w:pPr>
        <w:pStyle w:val="Heading2"/>
        <w:spacing w:after="150" w:before="300"/>
      </w:pPr>
      <w:r>
        <w:t xml:space="preserve">7.2 Cloud-Optimized GeoTIFF &amp; Pyramids</w:t>
      </w:r>
    </w:p>
    <w:p>
      <w:pPr>
        <w:spacing w:after="160" w:line="276"/>
        <w:jc w:val="both"/>
      </w:pPr>
      <w:r>
        <w:rPr>
          <w:sz w:val="22"/>
          <w:szCs w:val="22"/>
        </w:rPr>
        <w:t xml:space="preserve">COG is a non-negotiable format choice — it is what allows TiTiler to perform partial, range-request-based reads instead of downloading entire scenes. Overviews are generated at creation time across the expected zoom range, using DEFLATE/ZSTD compression for continuous data and LZW where broader compatibility is required.</w:t>
      </w:r>
    </w:p>
    <w:p>
      <w:pPr>
        <w:pStyle w:val="Heading2"/>
        <w:spacing w:after="150" w:before="300"/>
      </w:pPr>
      <w:r>
        <w:t xml:space="preserve">7.3 Tile Serving: XYZ, WMTS/TMS, Vector Tiles</w:t>
      </w:r>
    </w:p>
    <w:p>
      <w:pPr>
        <w:pStyle w:val="ListParagraph"/>
        <w:numPr>
          <w:ilvl w:val="0"/>
          <w:numId w:val="2"/>
        </w:numPr>
        <w:spacing w:after="80"/>
        <w:jc w:val="both"/>
      </w:pPr>
      <w:r>
        <w:t xml:space="preserve">TiTiler is the default raster tile server, generating tiles on demand directly from COGs in object storage — mirroring the conceptual model used by Sentinel Hub and Planet's tile services.</w:t>
      </w:r>
    </w:p>
    <w:p>
      <w:pPr>
        <w:pStyle w:val="ListParagraph"/>
        <w:numPr>
          <w:ilvl w:val="0"/>
          <w:numId w:val="2"/>
        </w:numPr>
        <w:spacing w:after="80"/>
        <w:jc w:val="both"/>
      </w:pPr>
      <w:r>
        <w:t xml:space="preserve">GeoServer is reserved for enterprise/government clients specifically requiring WFS/OGC compliance, not used as the primary tile server.</w:t>
      </w:r>
    </w:p>
    <w:p>
      <w:pPr>
        <w:pStyle w:val="ListParagraph"/>
        <w:numPr>
          <w:ilvl w:val="0"/>
          <w:numId w:val="2"/>
        </w:numPr>
        <w:spacing w:after="80"/>
        <w:jc w:val="both"/>
      </w:pPr>
      <w:r>
        <w:t xml:space="preserve">Vector tiles (MVT) are generated directly from PostGIS via ST_AsMVT for dynamic layers (polygon boundaries, classification outlines); Tippecanoe is reserved for static, rarely-changing basemap layers.</w:t>
      </w:r>
    </w:p>
    <w:p>
      <w:pPr>
        <w:pStyle w:val="ListParagraph"/>
        <w:numPr>
          <w:ilvl w:val="0"/>
          <w:numId w:val="2"/>
        </w:numPr>
        <w:spacing w:after="80"/>
        <w:jc w:val="both"/>
      </w:pPr>
      <w:r>
        <w:t xml:space="preserve">WMTS is exposed specifically for GIS desktop clients (QGIS, ArcGIS).</w:t>
      </w:r>
    </w:p>
    <w:p>
      <w:pPr>
        <w:pStyle w:val="Heading2"/>
        <w:spacing w:after="150" w:before="300"/>
      </w:pPr>
      <w:r>
        <w:t xml:space="preserve">7.4 Zonal Statistics &amp; Polygon Clipping</w:t>
      </w:r>
    </w:p>
    <w:p>
      <w:pPr>
        <w:spacing w:after="160" w:line="276"/>
        <w:jc w:val="both"/>
      </w:pPr>
      <w:r>
        <w:rPr>
          <w:sz w:val="22"/>
          <w:szCs w:val="22"/>
        </w:rPr>
        <w:t xml:space="preserve">exactextract is preferred over rasterstats at scale for its performance and correct fractional-pixel-area weighting, which matters significantly for small agricultural plots. The critical performance pattern: for a given tile, load it once and compute zonal statistics for all intersecting polygons in a single pass, using the precomputed polygon_tile_map rather than opening the raster once per polygon.</w:t>
      </w:r>
    </w:p>
    <w:p>
      <w:pPr>
        <w:pStyle w:val="Heading2"/>
        <w:spacing w:after="150" w:before="300"/>
      </w:pPr>
      <w:r>
        <w:t xml:space="preserve">7.5 Time-Series Generation &amp; Change Detection</w:t>
      </w:r>
    </w:p>
    <w:p>
      <w:pPr>
        <w:spacing w:after="160" w:line="276"/>
        <w:jc w:val="both"/>
      </w:pPr>
      <w:r>
        <w:rPr>
          <w:sz w:val="22"/>
          <w:szCs w:val="22"/>
        </w:rPr>
        <w:t xml:space="preserve">timeseries-svc reads directly from the pre-populated zonal_stats table — a pure database read with no raster access required, because all computation happened at ingestion time. Gap-filling and smoothing are applied as a view-layer transformation on read, keeping stored raw values immutable. changedetection-svc diffs zonal_stats snapshots (or derived raster pairs for pixel-level change such as deforestation or flood extent) and writes results to a change_events table with severity/type classification.</w:t>
      </w:r>
    </w:p>
    <w:p>
      <w:pPr>
        <w:pStyle w:val="Heading1"/>
        <w:pageBreakBefore/>
        <w:spacing w:after="200" w:before="400"/>
      </w:pPr>
      <w:r>
        <w:t xml:space="preserve">8. Sensor-Specific Pipelines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600"/>
      </w:tblGrid>
      <w:tr>
        <w:trPr>
          <w:tblHeader/>
        </w:trPr>
        <w:tc>
          <w:tcPr>
            <w:tcW w:type="dxa" w:w="2000"/>
            <w:shd w:fill="1F3A5F" w:val="clear"/>
            <w:tcMar>
              <w:top w:type="dxa" w:w="80"/>
              <w:left w:type="dxa" w:w="100"/>
              <w:bottom w:type="dxa" w:w="80"/>
              <w:right w:type="dxa" w:w="100"/>
            </w:tcMar>
            <w:vAlign w:val="center"/>
          </w:tcPr>
          <w:p>
            <w:r>
              <w:rPr>
                <w:b/>
                <w:bCs/>
                <w:color w:val="FFFFFF"/>
                <w:sz w:val="19"/>
                <w:szCs w:val="19"/>
              </w:rPr>
              <w:t xml:space="preserve">Sensor</w:t>
            </w:r>
          </w:p>
        </w:tc>
        <w:tc>
          <w:tcPr>
            <w:tcW w:type="dxa" w:w="3200"/>
            <w:shd w:fill="1F3A5F" w:val="clear"/>
            <w:tcMar>
              <w:top w:type="dxa" w:w="80"/>
              <w:left w:type="dxa" w:w="100"/>
              <w:bottom w:type="dxa" w:w="80"/>
              <w:right w:type="dxa" w:w="100"/>
            </w:tcMar>
            <w:vAlign w:val="center"/>
          </w:tcPr>
          <w:p>
            <w:r>
              <w:rPr>
                <w:b/>
                <w:bCs/>
                <w:color w:val="FFFFFF"/>
                <w:sz w:val="19"/>
                <w:szCs w:val="19"/>
              </w:rPr>
              <w:t xml:space="preserve">Key Products</w:t>
            </w:r>
          </w:p>
        </w:tc>
        <w:tc>
          <w:tcPr>
            <w:tcW w:type="dxa" w:w="4600"/>
            <w:shd w:fill="1F3A5F" w:val="clear"/>
            <w:tcMar>
              <w:top w:type="dxa" w:w="80"/>
              <w:left w:type="dxa" w:w="100"/>
              <w:bottom w:type="dxa" w:w="80"/>
              <w:right w:type="dxa" w:w="100"/>
            </w:tcMar>
            <w:vAlign w:val="center"/>
          </w:tcPr>
          <w:p>
            <w:r>
              <w:rPr>
                <w:b/>
                <w:bCs/>
                <w:color w:val="FFFFFF"/>
                <w:sz w:val="19"/>
                <w:szCs w:val="19"/>
              </w:rPr>
              <w:t xml:space="preserve">Special Handling</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Sentinel-1 (SAR)</w:t>
            </w:r>
          </w:p>
        </w:tc>
        <w:tc>
          <w:tcPr>
            <w:tcW w:type="dxa" w:w="3200"/>
            <w:tcMar>
              <w:top w:type="dxa" w:w="80"/>
              <w:left w:type="dxa" w:w="100"/>
              <w:bottom w:type="dxa" w:w="80"/>
              <w:right w:type="dxa" w:w="100"/>
            </w:tcMar>
            <w:vAlign w:val="center"/>
          </w:tcPr>
          <w:p>
            <w:r>
              <w:rPr>
                <w:b w:val="false"/>
                <w:bCs w:val="false"/>
                <w:color w:val="000000"/>
                <w:sz w:val="19"/>
                <w:szCs w:val="19"/>
              </w:rPr>
              <w:t xml:space="preserve">GRD, VV/VH backscatter, coherence</w:t>
            </w:r>
          </w:p>
        </w:tc>
        <w:tc>
          <w:tcPr>
            <w:tcW w:type="dxa" w:w="4600"/>
            <w:tcMar>
              <w:top w:type="dxa" w:w="80"/>
              <w:left w:type="dxa" w:w="100"/>
              <w:bottom w:type="dxa" w:w="80"/>
              <w:right w:type="dxa" w:w="100"/>
            </w:tcMar>
            <w:vAlign w:val="center"/>
          </w:tcPr>
          <w:p>
            <w:r>
              <w:rPr>
                <w:b w:val="false"/>
                <w:bCs w:val="false"/>
                <w:color w:val="000000"/>
                <w:sz w:val="19"/>
                <w:szCs w:val="19"/>
              </w:rPr>
              <w:t xml:space="preserve">Radiometric terrain correction (needs DEM); speckle filtering; cloud-independent — critical for monsoon-season India</w:t>
            </w:r>
          </w:p>
        </w:tc>
      </w:tr>
      <w:tr>
        <w:tc>
          <w:tcPr>
            <w:tcW w:type="dxa" w:w="2000"/>
            <w:shd w:fill="EAF0EE" w:val="clear"/>
            <w:tcMar>
              <w:top w:type="dxa" w:w="80"/>
              <w:left w:type="dxa" w:w="100"/>
              <w:bottom w:type="dxa" w:w="80"/>
              <w:right w:type="dxa" w:w="100"/>
            </w:tcMar>
            <w:vAlign w:val="center"/>
          </w:tcPr>
          <w:p>
            <w:r>
              <w:rPr>
                <w:b w:val="false"/>
                <w:bCs w:val="false"/>
                <w:color w:val="000000"/>
                <w:sz w:val="19"/>
                <w:szCs w:val="19"/>
              </w:rPr>
              <w:t xml:space="preserve">Sentinel-2 (optical)</w:t>
            </w:r>
          </w:p>
        </w:tc>
        <w:tc>
          <w:tcPr>
            <w:tcW w:type="dxa" w:w="3200"/>
            <w:shd w:fill="EAF0EE" w:val="clear"/>
            <w:tcMar>
              <w:top w:type="dxa" w:w="80"/>
              <w:left w:type="dxa" w:w="100"/>
              <w:bottom w:type="dxa" w:w="80"/>
              <w:right w:type="dxa" w:w="100"/>
            </w:tcMar>
            <w:vAlign w:val="center"/>
          </w:tcPr>
          <w:p>
            <w:r>
              <w:rPr>
                <w:b w:val="false"/>
                <w:bCs w:val="false"/>
                <w:color w:val="000000"/>
                <w:sz w:val="19"/>
                <w:szCs w:val="19"/>
              </w:rPr>
              <w:t xml:space="preserve">L2A surface reflectance, NDVI/NDWI/EVI/SOC</w:t>
            </w:r>
          </w:p>
        </w:tc>
        <w:tc>
          <w:tcPr>
            <w:tcW w:type="dxa" w:w="4600"/>
            <w:shd w:fill="EAF0EE" w:val="clear"/>
            <w:tcMar>
              <w:top w:type="dxa" w:w="80"/>
              <w:left w:type="dxa" w:w="100"/>
              <w:bottom w:type="dxa" w:w="80"/>
              <w:right w:type="dxa" w:w="100"/>
            </w:tcMar>
            <w:vAlign w:val="center"/>
          </w:tcPr>
          <w:p>
            <w:r>
              <w:rPr>
                <w:b w:val="false"/>
                <w:bCs w:val="false"/>
                <w:color w:val="000000"/>
                <w:sz w:val="19"/>
                <w:szCs w:val="19"/>
              </w:rPr>
              <w:t xml:space="preserve">Cloud/shadow masking is the dominant challenge; SCL band from L2A simplifies this</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Sentinel-3 (ocean/land)</w:t>
            </w:r>
          </w:p>
        </w:tc>
        <w:tc>
          <w:tcPr>
            <w:tcW w:type="dxa" w:w="3200"/>
            <w:tcMar>
              <w:top w:type="dxa" w:w="80"/>
              <w:left w:type="dxa" w:w="100"/>
              <w:bottom w:type="dxa" w:w="80"/>
              <w:right w:type="dxa" w:w="100"/>
            </w:tcMar>
            <w:vAlign w:val="center"/>
          </w:tcPr>
          <w:p>
            <w:r>
              <w:rPr>
                <w:b w:val="false"/>
                <w:bCs w:val="false"/>
                <w:color w:val="000000"/>
                <w:sz w:val="19"/>
                <w:szCs w:val="19"/>
              </w:rPr>
              <w:t xml:space="preserve">OLCI (300m land/ocean colour), SLSTR (SST, fire)</w:t>
            </w:r>
          </w:p>
        </w:tc>
        <w:tc>
          <w:tcPr>
            <w:tcW w:type="dxa" w:w="4600"/>
            <w:tcMar>
              <w:top w:type="dxa" w:w="80"/>
              <w:left w:type="dxa" w:w="100"/>
              <w:bottom w:type="dxa" w:w="80"/>
              <w:right w:type="dxa" w:w="100"/>
            </w:tcMar>
            <w:vAlign w:val="center"/>
          </w:tcPr>
          <w:p>
            <w:r>
              <w:rPr>
                <w:b w:val="false"/>
                <w:bCs w:val="false"/>
                <w:color w:val="000000"/>
                <w:sz w:val="19"/>
                <w:szCs w:val="19"/>
              </w:rPr>
              <w:t xml:space="preserve">Coarser resolution — best for regional/national dashboards, not per-farm analytics</w:t>
            </w:r>
          </w:p>
        </w:tc>
      </w:tr>
      <w:tr>
        <w:tc>
          <w:tcPr>
            <w:tcW w:type="dxa" w:w="2000"/>
            <w:shd w:fill="EAF0EE" w:val="clear"/>
            <w:tcMar>
              <w:top w:type="dxa" w:w="80"/>
              <w:left w:type="dxa" w:w="100"/>
              <w:bottom w:type="dxa" w:w="80"/>
              <w:right w:type="dxa" w:w="100"/>
            </w:tcMar>
            <w:vAlign w:val="center"/>
          </w:tcPr>
          <w:p>
            <w:r>
              <w:rPr>
                <w:b w:val="false"/>
                <w:bCs w:val="false"/>
                <w:color w:val="000000"/>
                <w:sz w:val="19"/>
                <w:szCs w:val="19"/>
              </w:rPr>
              <w:t xml:space="preserve">Sentinel-5P (atmosphere)</w:t>
            </w:r>
          </w:p>
        </w:tc>
        <w:tc>
          <w:tcPr>
            <w:tcW w:type="dxa" w:w="3200"/>
            <w:shd w:fill="EAF0EE" w:val="clear"/>
            <w:tcMar>
              <w:top w:type="dxa" w:w="80"/>
              <w:left w:type="dxa" w:w="100"/>
              <w:bottom w:type="dxa" w:w="80"/>
              <w:right w:type="dxa" w:w="100"/>
            </w:tcMar>
            <w:vAlign w:val="center"/>
          </w:tcPr>
          <w:p>
            <w:r>
              <w:rPr>
                <w:b w:val="false"/>
                <w:bCs w:val="false"/>
                <w:color w:val="000000"/>
                <w:sz w:val="19"/>
                <w:szCs w:val="19"/>
              </w:rPr>
              <w:t xml:space="preserve">NO2, CO, CH4, aerosol index</w:t>
            </w:r>
          </w:p>
        </w:tc>
        <w:tc>
          <w:tcPr>
            <w:tcW w:type="dxa" w:w="4600"/>
            <w:shd w:fill="EAF0EE" w:val="clear"/>
            <w:tcMar>
              <w:top w:type="dxa" w:w="80"/>
              <w:left w:type="dxa" w:w="100"/>
              <w:bottom w:type="dxa" w:w="80"/>
              <w:right w:type="dxa" w:w="100"/>
            </w:tcMar>
            <w:vAlign w:val="center"/>
          </w:tcPr>
          <w:p>
            <w:r>
              <w:rPr>
                <w:b w:val="false"/>
                <w:bCs w:val="false"/>
                <w:color w:val="000000"/>
                <w:sz w:val="19"/>
                <w:szCs w:val="19"/>
              </w:rPr>
              <w:t xml:space="preserve">NetCDF-based, xarray processing stack — a separate pipeline branch, not forced into the tile-COG model</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Copernicus DEM</w:t>
            </w:r>
          </w:p>
        </w:tc>
        <w:tc>
          <w:tcPr>
            <w:tcW w:type="dxa" w:w="3200"/>
            <w:tcMar>
              <w:top w:type="dxa" w:w="80"/>
              <w:left w:type="dxa" w:w="100"/>
              <w:bottom w:type="dxa" w:w="80"/>
              <w:right w:type="dxa" w:w="100"/>
            </w:tcMar>
            <w:vAlign w:val="center"/>
          </w:tcPr>
          <w:p>
            <w:r>
              <w:rPr>
                <w:b w:val="false"/>
                <w:bCs w:val="false"/>
                <w:color w:val="000000"/>
                <w:sz w:val="19"/>
                <w:szCs w:val="19"/>
              </w:rPr>
              <w:t xml:space="preserve">Elevation, slope, aspect</w:t>
            </w:r>
          </w:p>
        </w:tc>
        <w:tc>
          <w:tcPr>
            <w:tcW w:type="dxa" w:w="4600"/>
            <w:tcMar>
              <w:top w:type="dxa" w:w="80"/>
              <w:left w:type="dxa" w:w="100"/>
              <w:bottom w:type="dxa" w:w="80"/>
              <w:right w:type="dxa" w:w="100"/>
            </w:tcMar>
            <w:vAlign w:val="center"/>
          </w:tcPr>
          <w:p>
            <w:r>
              <w:rPr>
                <w:b w:val="false"/>
                <w:bCs w:val="false"/>
                <w:color w:val="000000"/>
                <w:sz w:val="19"/>
                <w:szCs w:val="19"/>
              </w:rPr>
              <w:t xml:space="preserve">Static reference layer; processed once, cached indefinitely; input to S1 terrain correction and hydrology models</w:t>
            </w:r>
          </w:p>
        </w:tc>
      </w:tr>
    </w:tbl>
    <w:p>
      <w:pPr>
        <w:pStyle w:val="Heading1"/>
        <w:pageBreakBefore/>
        <w:spacing w:after="200" w:before="400"/>
      </w:pPr>
      <w:r>
        <w:t xml:space="preserve">9. AI / ML Architecture</w:t>
      </w:r>
    </w:p>
    <w:p>
      <w:pPr>
        <w:spacing w:after="160" w:line="276"/>
        <w:jc w:val="both"/>
      </w:pPr>
      <w:r>
        <w:rPr>
          <w:sz w:val="22"/>
          <w:szCs w:val="22"/>
        </w:rPr>
        <w:t xml:space="preserve">Training and inference are separate services. Training runs on-demand/batch on a GPU pool (spot/preemptible where possible); inference is a persistent service (ml-inference-svc) behind FastAPI, backed by NVIDIA Triton or TorchServe for batched serving. Models are versioned artifacts in MinIO with a model registry in Postgres — every inference run records the model version that produced it, supporting audit requirements for insurance and banking clients.</w:t>
      </w:r>
    </w:p>
    <w:p>
      <w:pPr>
        <w:pStyle w:val="Heading2"/>
        <w:spacing w:after="150" w:before="300"/>
      </w:pPr>
      <w:r>
        <w:t xml:space="preserve">9.1 Task-Specific Approach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400"/>
      </w:tblGrid>
      <w:tr>
        <w:trPr>
          <w:tblHeader/>
        </w:trPr>
        <w:tc>
          <w:tcPr>
            <w:tcW w:type="dxa" w:w="2400"/>
            <w:shd w:fill="1F3A5F" w:val="clear"/>
            <w:tcMar>
              <w:top w:type="dxa" w:w="80"/>
              <w:left w:type="dxa" w:w="100"/>
              <w:bottom w:type="dxa" w:w="80"/>
              <w:right w:type="dxa" w:w="100"/>
            </w:tcMar>
            <w:vAlign w:val="center"/>
          </w:tcPr>
          <w:p>
            <w:r>
              <w:rPr>
                <w:b/>
                <w:bCs/>
                <w:color w:val="FFFFFF"/>
                <w:sz w:val="19"/>
                <w:szCs w:val="19"/>
              </w:rPr>
              <w:t xml:space="preserve">Task</w:t>
            </w:r>
          </w:p>
        </w:tc>
        <w:tc>
          <w:tcPr>
            <w:tcW w:type="dxa" w:w="4000"/>
            <w:shd w:fill="1F3A5F" w:val="clear"/>
            <w:tcMar>
              <w:top w:type="dxa" w:w="80"/>
              <w:left w:type="dxa" w:w="100"/>
              <w:bottom w:type="dxa" w:w="80"/>
              <w:right w:type="dxa" w:w="100"/>
            </w:tcMar>
            <w:vAlign w:val="center"/>
          </w:tcPr>
          <w:p>
            <w:r>
              <w:rPr>
                <w:b/>
                <w:bCs/>
                <w:color w:val="FFFFFF"/>
                <w:sz w:val="19"/>
                <w:szCs w:val="19"/>
              </w:rPr>
              <w:t xml:space="preserve">Approach</w:t>
            </w:r>
          </w:p>
        </w:tc>
        <w:tc>
          <w:tcPr>
            <w:tcW w:type="dxa" w:w="3400"/>
            <w:shd w:fill="1F3A5F" w:val="clear"/>
            <w:tcMar>
              <w:top w:type="dxa" w:w="80"/>
              <w:left w:type="dxa" w:w="100"/>
              <w:bottom w:type="dxa" w:w="80"/>
              <w:right w:type="dxa" w:w="100"/>
            </w:tcMar>
            <w:vAlign w:val="center"/>
          </w:tcPr>
          <w:p>
            <w:r>
              <w:rPr>
                <w:b/>
                <w:bCs/>
                <w:color w:val="FFFFFF"/>
                <w:sz w:val="19"/>
                <w:szCs w:val="19"/>
              </w:rPr>
              <w:t xml:space="preserve">Notes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Land cover classification</w:t>
            </w:r>
          </w:p>
        </w:tc>
        <w:tc>
          <w:tcPr>
            <w:tcW w:type="dxa" w:w="4000"/>
            <w:tcMar>
              <w:top w:type="dxa" w:w="80"/>
              <w:left w:type="dxa" w:w="100"/>
              <w:bottom w:type="dxa" w:w="80"/>
              <w:right w:type="dxa" w:w="100"/>
            </w:tcMar>
            <w:vAlign w:val="center"/>
          </w:tcPr>
          <w:p>
            <w:r>
              <w:rPr>
                <w:b w:val="false"/>
                <w:bCs w:val="false"/>
                <w:color w:val="000000"/>
                <w:sz w:val="19"/>
                <w:szCs w:val="19"/>
              </w:rPr>
              <w:t xml:space="preserve">Random Forest/XGBoost on spectral+temporal features initially; U-Net later</w:t>
            </w:r>
          </w:p>
        </w:tc>
        <w:tc>
          <w:tcPr>
            <w:tcW w:type="dxa" w:w="3400"/>
            <w:tcMar>
              <w:top w:type="dxa" w:w="80"/>
              <w:left w:type="dxa" w:w="100"/>
              <w:bottom w:type="dxa" w:w="80"/>
              <w:right w:type="dxa" w:w="100"/>
            </w:tcMar>
            <w:vAlign w:val="center"/>
          </w:tcPr>
          <w:p>
            <w:r>
              <w:rPr>
                <w:b w:val="false"/>
                <w:bCs w:val="false"/>
                <w:color w:val="000000"/>
                <w:sz w:val="19"/>
                <w:szCs w:val="19"/>
              </w:rPr>
              <w:t xml:space="preserve">Classical ML captures most value at a fraction of the infrastructure cost</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Object detection</w:t>
            </w:r>
          </w:p>
        </w:tc>
        <w:tc>
          <w:tcPr>
            <w:tcW w:type="dxa" w:w="4000"/>
            <w:shd w:fill="EAF0EE" w:val="clear"/>
            <w:tcMar>
              <w:top w:type="dxa" w:w="80"/>
              <w:left w:type="dxa" w:w="100"/>
              <w:bottom w:type="dxa" w:w="80"/>
              <w:right w:type="dxa" w:w="100"/>
            </w:tcMar>
            <w:vAlign w:val="center"/>
          </w:tcPr>
          <w:p>
            <w:r>
              <w:rPr>
                <w:b w:val="false"/>
                <w:bCs w:val="false"/>
                <w:color w:val="000000"/>
                <w:sz w:val="19"/>
                <w:szCs w:val="19"/>
              </w:rPr>
              <w:t xml:space="preserve">YOLO-family fine-tuned on high-resolution imagery</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Sentinel's 10m resolution is too coarse — requires VHR imagery integration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Building detection</w:t>
            </w:r>
          </w:p>
        </w:tc>
        <w:tc>
          <w:tcPr>
            <w:tcW w:type="dxa" w:w="4000"/>
            <w:tcMar>
              <w:top w:type="dxa" w:w="80"/>
              <w:left w:type="dxa" w:w="100"/>
              <w:bottom w:type="dxa" w:w="80"/>
              <w:right w:type="dxa" w:w="100"/>
            </w:tcMar>
            <w:vAlign w:val="center"/>
          </w:tcPr>
          <w:p>
            <w:r>
              <w:rPr>
                <w:b w:val="false"/>
                <w:bCs w:val="false"/>
                <w:color w:val="000000"/>
                <w:sz w:val="19"/>
                <w:szCs w:val="19"/>
              </w:rPr>
              <w:t xml:space="preserve">Segmentation on VHR, or integrate open building-footprint datasets</w:t>
            </w:r>
          </w:p>
        </w:tc>
        <w:tc>
          <w:tcPr>
            <w:tcW w:type="dxa" w:w="3400"/>
            <w:tcMar>
              <w:top w:type="dxa" w:w="80"/>
              <w:left w:type="dxa" w:w="100"/>
              <w:bottom w:type="dxa" w:w="80"/>
              <w:right w:type="dxa" w:w="100"/>
            </w:tcMar>
            <w:vAlign w:val="center"/>
          </w:tcPr>
          <w:p>
            <w:r>
              <w:rPr>
                <w:b w:val="false"/>
                <w:bCs w:val="false"/>
                <w:color w:val="000000"/>
                <w:sz w:val="19"/>
                <w:szCs w:val="19"/>
              </w:rPr>
              <w:t xml:space="preserve">Prefer integrating Microsoft/Google Open Buildings over training from scratch</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Road extraction</w:t>
            </w:r>
          </w:p>
        </w:tc>
        <w:tc>
          <w:tcPr>
            <w:tcW w:type="dxa" w:w="4000"/>
            <w:shd w:fill="EAF0EE" w:val="clear"/>
            <w:tcMar>
              <w:top w:type="dxa" w:w="80"/>
              <w:left w:type="dxa" w:w="100"/>
              <w:bottom w:type="dxa" w:w="80"/>
              <w:right w:type="dxa" w:w="100"/>
            </w:tcMar>
            <w:vAlign w:val="center"/>
          </w:tcPr>
          <w:p>
            <w:r>
              <w:rPr>
                <w:b w:val="false"/>
                <w:bCs w:val="false"/>
                <w:color w:val="000000"/>
                <w:sz w:val="19"/>
                <w:szCs w:val="19"/>
              </w:rPr>
              <w:t xml:space="preserve">Segmentation + vectorization, or integrate OpenStreetMap</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Use imagery mainly for change/validation against OSM</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Water / flood detection</w:t>
            </w:r>
          </w:p>
        </w:tc>
        <w:tc>
          <w:tcPr>
            <w:tcW w:type="dxa" w:w="4000"/>
            <w:tcMar>
              <w:top w:type="dxa" w:w="80"/>
              <w:left w:type="dxa" w:w="100"/>
              <w:bottom w:type="dxa" w:w="80"/>
              <w:right w:type="dxa" w:w="100"/>
            </w:tcMar>
            <w:vAlign w:val="center"/>
          </w:tcPr>
          <w:p>
            <w:r>
              <w:rPr>
                <w:b w:val="false"/>
                <w:bCs w:val="false"/>
                <w:color w:val="000000"/>
                <w:sz w:val="19"/>
                <w:szCs w:val="19"/>
              </w:rPr>
              <w:t xml:space="preserve">NDWI/MNDWI thresholding + Sentinel-1 backscatter</w:t>
            </w:r>
          </w:p>
        </w:tc>
        <w:tc>
          <w:tcPr>
            <w:tcW w:type="dxa" w:w="3400"/>
            <w:tcMar>
              <w:top w:type="dxa" w:w="80"/>
              <w:left w:type="dxa" w:w="100"/>
              <w:bottom w:type="dxa" w:w="80"/>
              <w:right w:type="dxa" w:w="100"/>
            </w:tcMar>
            <w:vAlign w:val="center"/>
          </w:tcPr>
          <w:p>
            <w:r>
              <w:rPr>
                <w:b w:val="false"/>
                <w:bCs w:val="false"/>
                <w:color w:val="000000"/>
                <w:sz w:val="19"/>
                <w:szCs w:val="19"/>
              </w:rPr>
              <w:t xml:space="preserve">SAR sees through cloud cover — critical for flood events</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Forest monitoring</w:t>
            </w:r>
          </w:p>
        </w:tc>
        <w:tc>
          <w:tcPr>
            <w:tcW w:type="dxa" w:w="4000"/>
            <w:shd w:fill="EAF0EE" w:val="clear"/>
            <w:tcMar>
              <w:top w:type="dxa" w:w="80"/>
              <w:left w:type="dxa" w:w="100"/>
              <w:bottom w:type="dxa" w:w="80"/>
              <w:right w:type="dxa" w:w="100"/>
            </w:tcMar>
            <w:vAlign w:val="center"/>
          </w:tcPr>
          <w:p>
            <w:r>
              <w:rPr>
                <w:b w:val="false"/>
                <w:bCs w:val="false"/>
                <w:color w:val="000000"/>
                <w:sz w:val="19"/>
                <w:szCs w:val="19"/>
              </w:rPr>
              <w:t xml:space="preserve">Time-series NDVI/NDFI change detection</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Threshold-based time-series approach, not single-image classification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Fire detection</w:t>
            </w:r>
          </w:p>
        </w:tc>
        <w:tc>
          <w:tcPr>
            <w:tcW w:type="dxa" w:w="4000"/>
            <w:tcMar>
              <w:top w:type="dxa" w:w="80"/>
              <w:left w:type="dxa" w:w="100"/>
              <w:bottom w:type="dxa" w:w="80"/>
              <w:right w:type="dxa" w:w="100"/>
            </w:tcMar>
            <w:vAlign w:val="center"/>
          </w:tcPr>
          <w:p>
            <w:r>
              <w:rPr>
                <w:b w:val="false"/>
                <w:bCs w:val="false"/>
                <w:color w:val="000000"/>
                <w:sz w:val="19"/>
                <w:szCs w:val="19"/>
              </w:rPr>
              <w:t xml:space="preserve">Sentinel-3 SLSTR thermal anomalies + post-event burn indices</w:t>
            </w:r>
          </w:p>
        </w:tc>
        <w:tc>
          <w:tcPr>
            <w:tcW w:type="dxa" w:w="3400"/>
            <w:tcMar>
              <w:top w:type="dxa" w:w="80"/>
              <w:left w:type="dxa" w:w="100"/>
              <w:bottom w:type="dxa" w:w="80"/>
              <w:right w:type="dxa" w:w="100"/>
            </w:tcMar>
            <w:vAlign w:val="center"/>
          </w:tcPr>
          <w:p>
            <w:r>
              <w:rPr>
                <w:b w:val="false"/>
                <w:bCs w:val="false"/>
                <w:color w:val="000000"/>
                <w:sz w:val="19"/>
                <w:szCs w:val="19"/>
              </w:rPr>
              <w:t xml:space="preserve">Near-real-time alerting; requires the priority-queue ingestion path</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Air pollution / carbon</w:t>
            </w:r>
          </w:p>
        </w:tc>
        <w:tc>
          <w:tcPr>
            <w:tcW w:type="dxa" w:w="4000"/>
            <w:shd w:fill="EAF0EE" w:val="clear"/>
            <w:tcMar>
              <w:top w:type="dxa" w:w="80"/>
              <w:left w:type="dxa" w:w="100"/>
              <w:bottom w:type="dxa" w:w="80"/>
              <w:right w:type="dxa" w:w="100"/>
            </w:tcMar>
            <w:vAlign w:val="center"/>
          </w:tcPr>
          <w:p>
            <w:r>
              <w:rPr>
                <w:b w:val="false"/>
                <w:bCs w:val="false"/>
                <w:color w:val="000000"/>
                <w:sz w:val="19"/>
                <w:szCs w:val="19"/>
              </w:rPr>
              <w:t xml:space="preserve">Sentinel-5P NO2/CH4/CO time series aggregated to admin boundaries</w:t>
            </w:r>
          </w:p>
        </w:tc>
        <w:tc>
          <w:tcPr>
            <w:tcW w:type="dxa" w:w="3400"/>
            <w:shd w:fill="EAF0EE" w:val="clear"/>
            <w:tcMar>
              <w:top w:type="dxa" w:w="80"/>
              <w:left w:type="dxa" w:w="100"/>
              <w:bottom w:type="dxa" w:w="80"/>
              <w:right w:type="dxa" w:w="100"/>
            </w:tcMar>
            <w:vAlign w:val="center"/>
          </w:tcPr>
          <w:p>
            <w:r>
              <w:rPr>
                <w:b w:val="false"/>
                <w:bCs w:val="false"/>
                <w:color w:val="000000"/>
                <w:sz w:val="19"/>
                <w:szCs w:val="19"/>
              </w:rPr>
              <w:t xml:space="preserve">Primary output of the S5P pipeline branch</w:t>
            </w:r>
          </w:p>
        </w:tc>
      </w:tr>
    </w:tbl>
    <w:p>
      <w:pPr>
        <w:pStyle w:val="Heading1"/>
        <w:pageBreakBefore/>
        <w:spacing w:after="200" w:before="400"/>
      </w:pPr>
      <w:r>
        <w:t xml:space="preserve">10. Platform / SaaS Layer</w:t>
      </w:r>
    </w:p>
    <w:p>
      <w:pPr>
        <w:pStyle w:val="Heading2"/>
        <w:spacing w:after="150" w:before="300"/>
      </w:pPr>
      <w:r>
        <w:t xml:space="preserve">10.1 API Gateway, Authentication, Multi-Tenancy</w:t>
      </w:r>
    </w:p>
    <w:p>
      <w:pPr>
        <w:pStyle w:val="ListParagraph"/>
        <w:numPr>
          <w:ilvl w:val="0"/>
          <w:numId w:val="2"/>
        </w:numPr>
        <w:spacing w:after="80"/>
        <w:jc w:val="both"/>
      </w:pPr>
      <w:r>
        <w:t xml:space="preserve">Gateway (Kong or Traefik) handles TLS termination, API key validation, rate limiting, and routing.</w:t>
      </w:r>
    </w:p>
    <w:p>
      <w:pPr>
        <w:pStyle w:val="ListParagraph"/>
        <w:numPr>
          <w:ilvl w:val="0"/>
          <w:numId w:val="2"/>
        </w:numPr>
        <w:spacing w:after="80"/>
        <w:jc w:val="both"/>
      </w:pPr>
      <w:r>
        <w:t xml:space="preserve">API keys authenticate machine clients; OAuth2/OIDC (Keycloak) authenticates dashboard users.</w:t>
      </w:r>
    </w:p>
    <w:p>
      <w:pPr>
        <w:pStyle w:val="ListParagraph"/>
        <w:numPr>
          <w:ilvl w:val="0"/>
          <w:numId w:val="2"/>
        </w:numPr>
        <w:spacing w:after="80"/>
        <w:jc w:val="both"/>
      </w:pPr>
      <w:r>
        <w:t xml:space="preserve">Every tenant-scoped table carries tenant_id and is protected by Postgres Row-Level Security policies as defense-in-depth beyond application-layer filtering.</w:t>
      </w:r>
    </w:p>
    <w:p>
      <w:pPr>
        <w:pStyle w:val="Heading2"/>
        <w:spacing w:after="150" w:before="300"/>
      </w:pPr>
      <w:r>
        <w:t xml:space="preserve">10.2 Billing Architecture</w:t>
      </w:r>
    </w:p>
    <w:p>
      <w:pPr>
        <w:spacing w:after="160" w:line="276"/>
        <w:jc w:val="both"/>
      </w:pPr>
      <w:r>
        <w:rPr>
          <w:sz w:val="22"/>
          <w:szCs w:val="22"/>
        </w:rPr>
        <w:t xml:space="preserve">Usage — API calls, polygon-hectares monitored, tile renders served, export jobs, ML inference calls — is metered into an append-only usage_events table and aggregated into usage_summary for billing. Razorpay integration (consistent with the existing AgriDoot developer platform pattern) handles Indian billing, with an abstraction layer allowing a second processor for international/enterprise billing without a rewrite.</w:t>
      </w:r>
    </w:p>
    <w:p>
      <w:pPr>
        <w:pStyle w:val="Heading2"/>
        <w:spacing w:after="150" w:before="300"/>
      </w:pPr>
      <w:r>
        <w:t xml:space="preserve">10.3 User Management &amp; Enterprise</w:t>
      </w:r>
    </w:p>
    <w:p>
      <w:pPr>
        <w:spacing w:after="160" w:line="276"/>
        <w:jc w:val="both"/>
      </w:pPr>
      <w:r>
        <w:rPr>
          <w:sz w:val="22"/>
          <w:szCs w:val="22"/>
        </w:rPr>
        <w:t xml:space="preserve">Role hierarchy: platform-admin, tenant-admin, tenant-user, read-only/viewer. Enterprise tier includes dedicated rate limits, SSO, custom AOI subscriptions, SLA-backed processing priority, and optionally VPC-peered or on-premises deployment for government/defense clients with data-residency requirements.</w:t>
      </w:r>
    </w:p>
    <w:p>
      <w:pPr>
        <w:pStyle w:val="Heading1"/>
        <w:pageBreakBefore/>
        <w:spacing w:after="200" w:before="400"/>
      </w:pPr>
      <w:r>
        <w:t xml:space="preserve">11. Operations</w:t>
      </w:r>
    </w:p>
    <w:p>
      <w:pPr>
        <w:pStyle w:val="Heading2"/>
        <w:spacing w:after="150" w:before="300"/>
      </w:pPr>
      <w:r>
        <w:t xml:space="preserve">11.1 Logging, Monitoring, Alerting</w:t>
      </w:r>
    </w:p>
    <w:p>
      <w:pPr>
        <w:pStyle w:val="ListParagraph"/>
        <w:numPr>
          <w:ilvl w:val="0"/>
          <w:numId w:val="2"/>
        </w:numPr>
        <w:spacing w:after="80"/>
        <w:jc w:val="both"/>
      </w:pPr>
      <w:r>
        <w:t xml:space="preserve">Structured JSON logs from every service, aggregated via Loki (or ELK for richer full-text search).</w:t>
      </w:r>
    </w:p>
    <w:p>
      <w:pPr>
        <w:pStyle w:val="ListParagraph"/>
        <w:numPr>
          <w:ilvl w:val="0"/>
          <w:numId w:val="2"/>
        </w:numPr>
        <w:spacing w:after="80"/>
        <w:jc w:val="both"/>
      </w:pPr>
      <w:r>
        <w:t xml:space="preserve">Prometheus metrics across all services (queue depth, worker utilization, PU consumption, tile-render latency, cache hit rate), visualized in Grafana.</w:t>
      </w:r>
    </w:p>
    <w:p>
      <w:pPr>
        <w:pStyle w:val="ListParagraph"/>
        <w:numPr>
          <w:ilvl w:val="0"/>
          <w:numId w:val="2"/>
        </w:numPr>
        <w:spacing w:after="80"/>
        <w:jc w:val="both"/>
      </w:pPr>
      <w:r>
        <w:t xml:space="preserve">OpenTelemetry tracing across FastAPI services for cross-service request tracing.</w:t>
      </w:r>
    </w:p>
    <w:p>
      <w:pPr>
        <w:pStyle w:val="ListParagraph"/>
        <w:numPr>
          <w:ilvl w:val="0"/>
          <w:numId w:val="2"/>
        </w:numPr>
        <w:spacing w:after="80"/>
        <w:jc w:val="both"/>
      </w:pPr>
      <w:r>
        <w:t xml:space="preserve">Alertmanager/Grafana alerting to PagerDuty/Slack on PU budget, queue depth, worker saturation, download failure rate, and storage capacity.</w:t>
      </w:r>
    </w:p>
    <w:p>
      <w:pPr>
        <w:pStyle w:val="Heading2"/>
        <w:spacing w:after="150" w:before="300"/>
      </w:pPr>
      <w:r>
        <w:t xml:space="preserve">11.2 Backup, Disaster Recovery, High Availability</w:t>
      </w:r>
    </w:p>
    <w:p>
      <w:pPr>
        <w:spacing w:after="160" w:line="276"/>
        <w:jc w:val="both"/>
      </w:pPr>
      <w:r>
        <w:rPr>
          <w:sz w:val="22"/>
          <w:szCs w:val="22"/>
        </w:rPr>
        <w:t xml:space="preserve">PostGIS uses streaming replication to a standby for HA, plus nightly dumps and WAL archiving to separate object storage for DR. MinIO uses erasure coding within the cluster for HA and cross-region bucket replication for critical processed/derived buckets. RPO/RTO targets are defined explicitly per data tier — raw data (re-fetchable from Copernicus) carries a looser target than derived products and statistics, which represent the platform's real compute investment.</w:t>
      </w:r>
    </w:p>
    <w:p>
      <w:pPr>
        <w:pStyle w:val="Heading2"/>
        <w:spacing w:after="150" w:before="300"/>
      </w:pPr>
      <w:r>
        <w:t xml:space="preserve">11.3 Kubernetes, Docker, CI/CD, Testing</w:t>
      </w:r>
    </w:p>
    <w:p>
      <w:pPr>
        <w:pStyle w:val="ListParagraph"/>
        <w:numPr>
          <w:ilvl w:val="0"/>
          <w:numId w:val="2"/>
        </w:numPr>
        <w:spacing w:after="80"/>
        <w:jc w:val="both"/>
      </w:pPr>
      <w:r>
        <w:t xml:space="preserve">One Docker image per microservice, built via GitHub Actions and pushed to a private registry.</w:t>
      </w:r>
    </w:p>
    <w:p>
      <w:pPr>
        <w:pStyle w:val="ListParagraph"/>
        <w:numPr>
          <w:ilvl w:val="0"/>
          <w:numId w:val="2"/>
        </w:numPr>
        <w:spacing w:after="80"/>
        <w:jc w:val="both"/>
      </w:pPr>
      <w:r>
        <w:t xml:space="preserve">Kubernetes namespaces per environment; Helm charts per service; HPA on CPU/queue-depth for processing workers and request-rate for API services.</w:t>
      </w:r>
    </w:p>
    <w:p>
      <w:pPr>
        <w:pStyle w:val="ListParagraph"/>
        <w:numPr>
          <w:ilvl w:val="0"/>
          <w:numId w:val="2"/>
        </w:numPr>
        <w:spacing w:after="80"/>
        <w:jc w:val="both"/>
      </w:pPr>
      <w:r>
        <w:t xml:space="preserve">A tainted GPU node pool serves only ml-inference and training workloads.</w:t>
      </w:r>
    </w:p>
    <w:p>
      <w:pPr>
        <w:pStyle w:val="ListParagraph"/>
        <w:numPr>
          <w:ilvl w:val="0"/>
          <w:numId w:val="2"/>
        </w:numPr>
        <w:spacing w:after="80"/>
        <w:jc w:val="both"/>
      </w:pPr>
      <w:r>
        <w:t xml:space="preserve">CI pipeline: lint, unit tests, integration tests against ephemeral Postgres/Redis/MinIO, build, push, staging deploy, manual production promotion.</w:t>
      </w:r>
    </w:p>
    <w:p>
      <w:pPr>
        <w:pStyle w:val="ListParagraph"/>
        <w:numPr>
          <w:ilvl w:val="0"/>
          <w:numId w:val="2"/>
        </w:numPr>
        <w:spacing w:after="80"/>
        <w:jc w:val="both"/>
      </w:pPr>
      <w:r>
        <w:t xml:space="preserve">Load testing (Locust/k6) targets the serving layer specifically, since tile-serving latency under concurrency is the platform's key SLA metric.</w:t>
      </w:r>
    </w:p>
    <w:p>
      <w:pPr>
        <w:pStyle w:val="Heading2"/>
        <w:spacing w:after="150" w:before="300"/>
      </w:pPr>
      <w:r>
        <w:t xml:space="preserve">11.4 Security Best Practices</w:t>
      </w:r>
    </w:p>
    <w:p>
      <w:pPr>
        <w:pStyle w:val="ListParagraph"/>
        <w:numPr>
          <w:ilvl w:val="0"/>
          <w:numId w:val="2"/>
        </w:numPr>
        <w:spacing w:after="80"/>
        <w:jc w:val="both"/>
      </w:pPr>
      <w:r>
        <w:t xml:space="preserve">Inter-service traffic secured via mTLS/service mesh or internal-only network policies.</w:t>
      </w:r>
    </w:p>
    <w:p>
      <w:pPr>
        <w:pStyle w:val="ListParagraph"/>
        <w:numPr>
          <w:ilvl w:val="0"/>
          <w:numId w:val="2"/>
        </w:numPr>
        <w:spacing w:after="80"/>
        <w:jc w:val="both"/>
      </w:pPr>
      <w:r>
        <w:t xml:space="preserve">Secrets (Copernicus credentials, database passwords, payment keys) held in a secrets manager, never in container images or environment files committed to source control.</w:t>
      </w:r>
    </w:p>
    <w:p>
      <w:pPr>
        <w:pStyle w:val="ListParagraph"/>
        <w:numPr>
          <w:ilvl w:val="0"/>
          <w:numId w:val="2"/>
        </w:numPr>
        <w:spacing w:after="80"/>
        <w:jc w:val="both"/>
      </w:pPr>
      <w:r>
        <w:t xml:space="preserve">Signed, short-TTL URLs for all export/download links; MinIO buckets never exposed directly.</w:t>
      </w:r>
    </w:p>
    <w:p>
      <w:pPr>
        <w:pStyle w:val="ListParagraph"/>
        <w:numPr>
          <w:ilvl w:val="0"/>
          <w:numId w:val="2"/>
        </w:numPr>
        <w:spacing w:after="80"/>
        <w:jc w:val="both"/>
      </w:pPr>
      <w:r>
        <w:t xml:space="preserve">Regular dependency scanning given the large GDAL/Python native-dependency surface area.</w:t>
      </w:r>
    </w:p>
    <w:p>
      <w:pPr>
        <w:pStyle w:val="Heading1"/>
        <w:pageBreakBefore/>
        <w:spacing w:after="200" w:before="400"/>
      </w:pPr>
      <w:r>
        <w:t xml:space="preserve">12. Folder Structure &amp; Package Design</w:t>
      </w:r>
    </w:p>
    <w:p>
      <w:pPr>
        <w:shd w:fill="F2F2F2" w:val="clear"/>
        <w:spacing w:after="0"/>
      </w:pPr>
      <w:r>
        <w:rPr>
          <w:rFonts w:ascii="Consolas" w:cs="Consolas" w:eastAsia="Consolas" w:hAnsi="Consolas"/>
          <w:sz w:val="17"/>
          <w:szCs w:val="17"/>
        </w:rPr>
        <w:t xml:space="preserve">vyom-engine/</w:t>
      </w:r>
    </w:p>
    <w:p>
      <w:pPr>
        <w:shd w:fill="F2F2F2" w:val="clear"/>
        <w:spacing w:after="0"/>
      </w:pPr>
      <w:r>
        <w:rPr>
          <w:rFonts w:ascii="Consolas" w:cs="Consolas" w:eastAsia="Consolas" w:hAnsi="Consolas"/>
          <w:sz w:val="17"/>
          <w:szCs w:val="17"/>
        </w:rPr>
        <w:t xml:space="preserve">|-- services/</w:t>
      </w:r>
    </w:p>
    <w:p>
      <w:pPr>
        <w:shd w:fill="F2F2F2" w:val="clear"/>
        <w:spacing w:after="0"/>
      </w:pPr>
      <w:r>
        <w:rPr>
          <w:rFonts w:ascii="Consolas" w:cs="Consolas" w:eastAsia="Consolas" w:hAnsi="Consolas"/>
          <w:sz w:val="17"/>
          <w:szCs w:val="17"/>
        </w:rPr>
        <w:t xml:space="preserve">|   |-- discovery/</w:t>
      </w:r>
    </w:p>
    <w:p>
      <w:pPr>
        <w:shd w:fill="F2F2F2" w:val="clear"/>
        <w:spacing w:after="0"/>
      </w:pPr>
      <w:r>
        <w:rPr>
          <w:rFonts w:ascii="Consolas" w:cs="Consolas" w:eastAsia="Consolas" w:hAnsi="Consolas"/>
          <w:sz w:val="17"/>
          <w:szCs w:val="17"/>
        </w:rPr>
        <w:t xml:space="preserve">|   |   |-- vyom_discovery/</w:t>
      </w:r>
    </w:p>
    <w:p>
      <w:pPr>
        <w:shd w:fill="F2F2F2" w:val="clear"/>
        <w:spacing w:after="0"/>
      </w:pPr>
      <w:r>
        <w:rPr>
          <w:rFonts w:ascii="Consolas" w:cs="Consolas" w:eastAsia="Consolas" w:hAnsi="Consolas"/>
          <w:sz w:val="17"/>
          <w:szCs w:val="17"/>
        </w:rPr>
        <w:t xml:space="preserve">|   |   |   |-- main.py               # FastAPI app</w:t>
      </w:r>
    </w:p>
    <w:p>
      <w:pPr>
        <w:shd w:fill="F2F2F2" w:val="clear"/>
        <w:spacing w:after="0"/>
      </w:pPr>
      <w:r>
        <w:rPr>
          <w:rFonts w:ascii="Consolas" w:cs="Consolas" w:eastAsia="Consolas" w:hAnsi="Consolas"/>
          <w:sz w:val="17"/>
          <w:szCs w:val="17"/>
        </w:rPr>
        <w:t xml:space="preserve">|   |   |   |-- copernicus_client.py</w:t>
      </w:r>
    </w:p>
    <w:p>
      <w:pPr>
        <w:shd w:fill="F2F2F2" w:val="clear"/>
        <w:spacing w:after="0"/>
      </w:pPr>
      <w:r>
        <w:rPr>
          <w:rFonts w:ascii="Consolas" w:cs="Consolas" w:eastAsia="Consolas" w:hAnsi="Consolas"/>
          <w:sz w:val="17"/>
          <w:szCs w:val="17"/>
        </w:rPr>
        <w:t xml:space="preserve">|   |   |   |-- tasks.py              # Celery beat tasks</w:t>
      </w:r>
    </w:p>
    <w:p>
      <w:pPr>
        <w:shd w:fill="F2F2F2" w:val="clear"/>
        <w:spacing w:after="0"/>
      </w:pPr>
      <w:r>
        <w:rPr>
          <w:rFonts w:ascii="Consolas" w:cs="Consolas" w:eastAsia="Consolas" w:hAnsi="Consolas"/>
          <w:sz w:val="17"/>
          <w:szCs w:val="17"/>
        </w:rPr>
        <w:t xml:space="preserve">|   |   |   `-- models.py</w:t>
      </w:r>
    </w:p>
    <w:p>
      <w:pPr>
        <w:shd w:fill="F2F2F2" w:val="clear"/>
        <w:spacing w:after="0"/>
      </w:pPr>
      <w:r>
        <w:rPr>
          <w:rFonts w:ascii="Consolas" w:cs="Consolas" w:eastAsia="Consolas" w:hAnsi="Consolas"/>
          <w:sz w:val="17"/>
          <w:szCs w:val="17"/>
        </w:rPr>
        <w:t xml:space="preserve">|   |   |-- tests/</w:t>
      </w:r>
    </w:p>
    <w:p>
      <w:pPr>
        <w:shd w:fill="F2F2F2" w:val="clear"/>
        <w:spacing w:after="0"/>
      </w:pPr>
      <w:r>
        <w:rPr>
          <w:rFonts w:ascii="Consolas" w:cs="Consolas" w:eastAsia="Consolas" w:hAnsi="Consolas"/>
          <w:sz w:val="17"/>
          <w:szCs w:val="17"/>
        </w:rPr>
        <w:t xml:space="preserve">|   |   |-- Dockerfile</w:t>
      </w:r>
    </w:p>
    <w:p>
      <w:pPr>
        <w:shd w:fill="F2F2F2" w:val="clear"/>
        <w:spacing w:after="0"/>
      </w:pPr>
      <w:r>
        <w:rPr>
          <w:rFonts w:ascii="Consolas" w:cs="Consolas" w:eastAsia="Consolas" w:hAnsi="Consolas"/>
          <w:sz w:val="17"/>
          <w:szCs w:val="17"/>
        </w:rPr>
        <w:t xml:space="preserve">|   |   `-- pyproject.toml</w:t>
      </w:r>
    </w:p>
    <w:p>
      <w:pPr>
        <w:shd w:fill="F2F2F2" w:val="clear"/>
        <w:spacing w:after="0"/>
      </w:pPr>
      <w:r>
        <w:rPr>
          <w:rFonts w:ascii="Consolas" w:cs="Consolas" w:eastAsia="Consolas" w:hAnsi="Consolas"/>
          <w:sz w:val="17"/>
          <w:szCs w:val="17"/>
        </w:rPr>
        <w:t xml:space="preserve">|   |-- download_manager/</w:t>
      </w:r>
    </w:p>
    <w:p>
      <w:pPr>
        <w:shd w:fill="F2F2F2" w:val="clear"/>
        <w:spacing w:after="0"/>
      </w:pPr>
      <w:r>
        <w:rPr>
          <w:rFonts w:ascii="Consolas" w:cs="Consolas" w:eastAsia="Consolas" w:hAnsi="Consolas"/>
          <w:sz w:val="17"/>
          <w:szCs w:val="17"/>
        </w:rPr>
        <w:t xml:space="preserve">|   |-- tile_processor/</w:t>
      </w:r>
    </w:p>
    <w:p>
      <w:pPr>
        <w:shd w:fill="F2F2F2" w:val="clear"/>
        <w:spacing w:after="0"/>
      </w:pPr>
      <w:r>
        <w:rPr>
          <w:rFonts w:ascii="Consolas" w:cs="Consolas" w:eastAsia="Consolas" w:hAnsi="Consolas"/>
          <w:sz w:val="17"/>
          <w:szCs w:val="17"/>
        </w:rPr>
        <w:t xml:space="preserve">|   |   `-- vyom_tile_processor/</w:t>
      </w:r>
    </w:p>
    <w:p>
      <w:pPr>
        <w:shd w:fill="F2F2F2" w:val="clear"/>
        <w:spacing w:after="0"/>
      </w:pPr>
      <w:r>
        <w:rPr>
          <w:rFonts w:ascii="Consolas" w:cs="Consolas" w:eastAsia="Consolas" w:hAnsi="Consolas"/>
          <w:sz w:val="17"/>
          <w:szCs w:val="17"/>
        </w:rPr>
        <w:t xml:space="preserve">|   |       |-- cloud_mask.py</w:t>
      </w:r>
    </w:p>
    <w:p>
      <w:pPr>
        <w:shd w:fill="F2F2F2" w:val="clear"/>
        <w:spacing w:after="0"/>
      </w:pPr>
      <w:r>
        <w:rPr>
          <w:rFonts w:ascii="Consolas" w:cs="Consolas" w:eastAsia="Consolas" w:hAnsi="Consolas"/>
          <w:sz w:val="17"/>
          <w:szCs w:val="17"/>
        </w:rPr>
        <w:t xml:space="preserve">|   |       |-- indices.py            # NDVI, NDWI, SOC calc</w:t>
      </w:r>
    </w:p>
    <w:p>
      <w:pPr>
        <w:shd w:fill="F2F2F2" w:val="clear"/>
        <w:spacing w:after="0"/>
      </w:pPr>
      <w:r>
        <w:rPr>
          <w:rFonts w:ascii="Consolas" w:cs="Consolas" w:eastAsia="Consolas" w:hAnsi="Consolas"/>
          <w:sz w:val="17"/>
          <w:szCs w:val="17"/>
        </w:rPr>
        <w:t xml:space="preserve">|   |       |-- cog_writer.py</w:t>
      </w:r>
    </w:p>
    <w:p>
      <w:pPr>
        <w:shd w:fill="F2F2F2" w:val="clear"/>
        <w:spacing w:after="0"/>
      </w:pPr>
      <w:r>
        <w:rPr>
          <w:rFonts w:ascii="Consolas" w:cs="Consolas" w:eastAsia="Consolas" w:hAnsi="Consolas"/>
          <w:sz w:val="17"/>
          <w:szCs w:val="17"/>
        </w:rPr>
        <w:t xml:space="preserve">|   |       `-- pipeline.py</w:t>
      </w:r>
    </w:p>
    <w:p>
      <w:pPr>
        <w:shd w:fill="F2F2F2" w:val="clear"/>
        <w:spacing w:after="0"/>
      </w:pPr>
      <w:r>
        <w:rPr>
          <w:rFonts w:ascii="Consolas" w:cs="Consolas" w:eastAsia="Consolas" w:hAnsi="Consolas"/>
          <w:sz w:val="17"/>
          <w:szCs w:val="17"/>
        </w:rPr>
        <w:t xml:space="preserve">|   |-- zonal_stats_engine/</w:t>
      </w:r>
    </w:p>
    <w:p>
      <w:pPr>
        <w:shd w:fill="F2F2F2" w:val="clear"/>
        <w:spacing w:after="0"/>
      </w:pPr>
      <w:r>
        <w:rPr>
          <w:rFonts w:ascii="Consolas" w:cs="Consolas" w:eastAsia="Consolas" w:hAnsi="Consolas"/>
          <w:sz w:val="17"/>
          <w:szCs w:val="17"/>
        </w:rPr>
        <w:t xml:space="preserve">|   |-- polygon_catalog/</w:t>
      </w:r>
    </w:p>
    <w:p>
      <w:pPr>
        <w:shd w:fill="F2F2F2" w:val="clear"/>
        <w:spacing w:after="0"/>
      </w:pPr>
      <w:r>
        <w:rPr>
          <w:rFonts w:ascii="Consolas" w:cs="Consolas" w:eastAsia="Consolas" w:hAnsi="Consolas"/>
          <w:sz w:val="17"/>
          <w:szCs w:val="17"/>
        </w:rPr>
        <w:t xml:space="preserve">|   |-- timeseries/</w:t>
      </w:r>
    </w:p>
    <w:p>
      <w:pPr>
        <w:shd w:fill="F2F2F2" w:val="clear"/>
        <w:spacing w:after="0"/>
      </w:pPr>
      <w:r>
        <w:rPr>
          <w:rFonts w:ascii="Consolas" w:cs="Consolas" w:eastAsia="Consolas" w:hAnsi="Consolas"/>
          <w:sz w:val="17"/>
          <w:szCs w:val="17"/>
        </w:rPr>
        <w:t xml:space="preserve">|   |-- tile_serving/                 # TiTiler wrapper/config</w:t>
      </w:r>
    </w:p>
    <w:p>
      <w:pPr>
        <w:shd w:fill="F2F2F2" w:val="clear"/>
        <w:spacing w:after="0"/>
      </w:pPr>
      <w:r>
        <w:rPr>
          <w:rFonts w:ascii="Consolas" w:cs="Consolas" w:eastAsia="Consolas" w:hAnsi="Consolas"/>
          <w:sz w:val="17"/>
          <w:szCs w:val="17"/>
        </w:rPr>
        <w:t xml:space="preserve">|   |-- ml_inference/</w:t>
      </w:r>
    </w:p>
    <w:p>
      <w:pPr>
        <w:shd w:fill="F2F2F2" w:val="clear"/>
        <w:spacing w:after="0"/>
      </w:pPr>
      <w:r>
        <w:rPr>
          <w:rFonts w:ascii="Consolas" w:cs="Consolas" w:eastAsia="Consolas" w:hAnsi="Consolas"/>
          <w:sz w:val="17"/>
          <w:szCs w:val="17"/>
        </w:rPr>
        <w:t xml:space="preserve">|   |   `-- vyom_ml/</w:t>
      </w:r>
    </w:p>
    <w:p>
      <w:pPr>
        <w:shd w:fill="F2F2F2" w:val="clear"/>
        <w:spacing w:after="0"/>
      </w:pPr>
      <w:r>
        <w:rPr>
          <w:rFonts w:ascii="Consolas" w:cs="Consolas" w:eastAsia="Consolas" w:hAnsi="Consolas"/>
          <w:sz w:val="17"/>
          <w:szCs w:val="17"/>
        </w:rPr>
        <w:t xml:space="preserve">|   |       |-- models/</w:t>
      </w:r>
    </w:p>
    <w:p>
      <w:pPr>
        <w:shd w:fill="F2F2F2" w:val="clear"/>
        <w:spacing w:after="0"/>
      </w:pPr>
      <w:r>
        <w:rPr>
          <w:rFonts w:ascii="Consolas" w:cs="Consolas" w:eastAsia="Consolas" w:hAnsi="Consolas"/>
          <w:sz w:val="17"/>
          <w:szCs w:val="17"/>
        </w:rPr>
        <w:t xml:space="preserve">|   |       |-- land_cover.py</w:t>
      </w:r>
    </w:p>
    <w:p>
      <w:pPr>
        <w:shd w:fill="F2F2F2" w:val="clear"/>
        <w:spacing w:after="0"/>
      </w:pPr>
      <w:r>
        <w:rPr>
          <w:rFonts w:ascii="Consolas" w:cs="Consolas" w:eastAsia="Consolas" w:hAnsi="Consolas"/>
          <w:sz w:val="17"/>
          <w:szCs w:val="17"/>
        </w:rPr>
        <w:t xml:space="preserve">|   |       |-- flood_detection.py</w:t>
      </w:r>
    </w:p>
    <w:p>
      <w:pPr>
        <w:shd w:fill="F2F2F2" w:val="clear"/>
        <w:spacing w:after="0"/>
      </w:pPr>
      <w:r>
        <w:rPr>
          <w:rFonts w:ascii="Consolas" w:cs="Consolas" w:eastAsia="Consolas" w:hAnsi="Consolas"/>
          <w:sz w:val="17"/>
          <w:szCs w:val="17"/>
        </w:rPr>
        <w:t xml:space="preserve">|   |       `-- inference_server.py</w:t>
      </w:r>
    </w:p>
    <w:p>
      <w:pPr>
        <w:shd w:fill="F2F2F2" w:val="clear"/>
        <w:spacing w:after="0"/>
      </w:pPr>
      <w:r>
        <w:rPr>
          <w:rFonts w:ascii="Consolas" w:cs="Consolas" w:eastAsia="Consolas" w:hAnsi="Consolas"/>
          <w:sz w:val="17"/>
          <w:szCs w:val="17"/>
        </w:rPr>
        <w:t xml:space="preserve">|   |-- export/</w:t>
      </w:r>
    </w:p>
    <w:p>
      <w:pPr>
        <w:shd w:fill="F2F2F2" w:val="clear"/>
        <w:spacing w:after="0"/>
      </w:pPr>
      <w:r>
        <w:rPr>
          <w:rFonts w:ascii="Consolas" w:cs="Consolas" w:eastAsia="Consolas" w:hAnsi="Consolas"/>
          <w:sz w:val="17"/>
          <w:szCs w:val="17"/>
        </w:rPr>
        <w:t xml:space="preserve">|   |-- billing/</w:t>
      </w:r>
    </w:p>
    <w:p>
      <w:pPr>
        <w:shd w:fill="F2F2F2" w:val="clear"/>
        <w:spacing w:after="0"/>
      </w:pPr>
      <w:r>
        <w:rPr>
          <w:rFonts w:ascii="Consolas" w:cs="Consolas" w:eastAsia="Consolas" w:hAnsi="Consolas"/>
          <w:sz w:val="17"/>
          <w:szCs w:val="17"/>
        </w:rPr>
        <w:t xml:space="preserve">|   |-- tenant/</w:t>
      </w:r>
    </w:p>
    <w:p>
      <w:pPr>
        <w:shd w:fill="F2F2F2" w:val="clear"/>
        <w:spacing w:after="0"/>
      </w:pPr>
      <w:r>
        <w:rPr>
          <w:rFonts w:ascii="Consolas" w:cs="Consolas" w:eastAsia="Consolas" w:hAnsi="Consolas"/>
          <w:sz w:val="17"/>
          <w:szCs w:val="17"/>
        </w:rPr>
        <w:t xml:space="preserve">|   `-- gateway/</w:t>
      </w:r>
    </w:p>
    <w:p>
      <w:pPr>
        <w:shd w:fill="F2F2F2" w:val="clear"/>
        <w:spacing w:after="0"/>
      </w:pPr>
      <w:r>
        <w:rPr>
          <w:rFonts w:ascii="Consolas" w:cs="Consolas" w:eastAsia="Consolas" w:hAnsi="Consolas"/>
          <w:sz w:val="17"/>
          <w:szCs w:val="17"/>
        </w:rPr>
        <w:t xml:space="preserve">|-- libs/</w:t>
      </w:r>
    </w:p>
    <w:p>
      <w:pPr>
        <w:shd w:fill="F2F2F2" w:val="clear"/>
        <w:spacing w:after="0"/>
      </w:pPr>
      <w:r>
        <w:rPr>
          <w:rFonts w:ascii="Consolas" w:cs="Consolas" w:eastAsia="Consolas" w:hAnsi="Consolas"/>
          <w:sz w:val="17"/>
          <w:szCs w:val="17"/>
        </w:rPr>
        <w:t xml:space="preserve">|   |-- vyom_common/                  # db.py, storage.py, auth.py, config.py</w:t>
      </w:r>
    </w:p>
    <w:p>
      <w:pPr>
        <w:shd w:fill="F2F2F2" w:val="clear"/>
        <w:spacing w:after="0"/>
      </w:pPr>
      <w:r>
        <w:rPr>
          <w:rFonts w:ascii="Consolas" w:cs="Consolas" w:eastAsia="Consolas" w:hAnsi="Consolas"/>
          <w:sz w:val="17"/>
          <w:szCs w:val="17"/>
        </w:rPr>
        <w:t xml:space="preserve">|   `-- vyom_geo/                     # tile_grid.py, zonal.py, cog.py</w:t>
      </w:r>
    </w:p>
    <w:p>
      <w:pPr>
        <w:shd w:fill="F2F2F2" w:val="clear"/>
        <w:spacing w:after="0"/>
      </w:pPr>
      <w:r>
        <w:rPr>
          <w:rFonts w:ascii="Consolas" w:cs="Consolas" w:eastAsia="Consolas" w:hAnsi="Consolas"/>
          <w:sz w:val="17"/>
          <w:szCs w:val="17"/>
        </w:rPr>
        <w:t xml:space="preserve">|-- infra/</w:t>
      </w:r>
    </w:p>
    <w:p>
      <w:pPr>
        <w:shd w:fill="F2F2F2" w:val="clear"/>
        <w:spacing w:after="0"/>
      </w:pPr>
      <w:r>
        <w:rPr>
          <w:rFonts w:ascii="Consolas" w:cs="Consolas" w:eastAsia="Consolas" w:hAnsi="Consolas"/>
          <w:sz w:val="17"/>
          <w:szCs w:val="17"/>
        </w:rPr>
        <w:t xml:space="preserve">|   |-- terraform/</w:t>
      </w:r>
    </w:p>
    <w:p>
      <w:pPr>
        <w:shd w:fill="F2F2F2" w:val="clear"/>
        <w:spacing w:after="0"/>
      </w:pPr>
      <w:r>
        <w:rPr>
          <w:rFonts w:ascii="Consolas" w:cs="Consolas" w:eastAsia="Consolas" w:hAnsi="Consolas"/>
          <w:sz w:val="17"/>
          <w:szCs w:val="17"/>
        </w:rPr>
        <w:t xml:space="preserve">|   |-- k8s/                          # Helm charts per service</w:t>
      </w:r>
    </w:p>
    <w:p>
      <w:pPr>
        <w:shd w:fill="F2F2F2" w:val="clear"/>
        <w:spacing w:after="0"/>
      </w:pPr>
      <w:r>
        <w:rPr>
          <w:rFonts w:ascii="Consolas" w:cs="Consolas" w:eastAsia="Consolas" w:hAnsi="Consolas"/>
          <w:sz w:val="17"/>
          <w:szCs w:val="17"/>
        </w:rPr>
        <w:t xml:space="preserve">|   `-- docker-compose.dev.yml</w:t>
      </w:r>
    </w:p>
    <w:p>
      <w:pPr>
        <w:shd w:fill="F2F2F2" w:val="clear"/>
        <w:spacing w:after="0"/>
      </w:pPr>
      <w:r>
        <w:rPr>
          <w:rFonts w:ascii="Consolas" w:cs="Consolas" w:eastAsia="Consolas" w:hAnsi="Consolas"/>
          <w:sz w:val="17"/>
          <w:szCs w:val="17"/>
        </w:rPr>
        <w:t xml:space="preserve">|-- migrations/                       # Alembic</w:t>
      </w:r>
    </w:p>
    <w:p>
      <w:pPr>
        <w:shd w:fill="F2F2F2" w:val="clear"/>
        <w:spacing w:after="0"/>
      </w:pPr>
      <w:r>
        <w:rPr>
          <w:rFonts w:ascii="Consolas" w:cs="Consolas" w:eastAsia="Consolas" w:hAnsi="Consolas"/>
          <w:sz w:val="17"/>
          <w:szCs w:val="17"/>
        </w:rPr>
        <w:t xml:space="preserve">|-- docs/</w:t>
      </w:r>
    </w:p>
    <w:p>
      <w:pPr>
        <w:shd w:fill="F2F2F2" w:val="clear"/>
        <w:spacing w:after="200"/>
      </w:pPr>
      <w:r>
        <w:rPr>
          <w:rFonts w:ascii="Consolas" w:cs="Consolas" w:eastAsia="Consolas" w:hAnsi="Consolas"/>
          <w:sz w:val="17"/>
          <w:szCs w:val="17"/>
        </w:rPr>
        <w:t xml:space="preserve">`-- .github/workflows/</w:t>
      </w:r>
    </w:p>
    <w:p>
      <w:pPr>
        <w:spacing w:after="160" w:line="276"/>
        <w:jc w:val="both"/>
      </w:pPr>
      <w:r>
        <w:rPr>
          <w:sz w:val="22"/>
          <w:szCs w:val="22"/>
        </w:rPr>
        <w:t xml:space="preserve">Naming conventions: services use snake_case; Python packages are prefixed vyom_; Celery task names are namespaced as vyom.&lt;service&gt;.&lt;task&gt; (e.g. vyom.tile_processor.process_tile); MinIO buckets follow vyom-{layer}-{env}; and Postgres uses schemas per bounded context (catalog, geo, billing, ml) rather than a single flat schema.</w:t>
      </w:r>
    </w:p>
    <w:p>
      <w:pPr>
        <w:pStyle w:val="Heading1"/>
        <w:pageBreakBefore/>
        <w:spacing w:after="200" w:before="400"/>
      </w:pPr>
      <w:r>
        <w:t xml:space="preserve">13. API Design, Versioning &amp; Cache Invalidation</w:t>
      </w:r>
    </w:p>
    <w:p>
      <w:pPr>
        <w:pStyle w:val="Heading2"/>
        <w:spacing w:after="150" w:before="300"/>
      </w:pPr>
      <w:r>
        <w:t xml:space="preserve">13.1 API Design</w:t>
      </w:r>
    </w:p>
    <w:p>
      <w:pPr>
        <w:spacing w:after="160" w:line="276"/>
        <w:jc w:val="both"/>
      </w:pPr>
      <w:r>
        <w:rPr>
          <w:sz w:val="22"/>
          <w:szCs w:val="22"/>
        </w:rPr>
        <w:t xml:space="preserve">REST is used for CRUD operations (polygons, tenants, exports), versioned at the URL path (/api/v1/...). Tile endpoints follow the standard XYZ convention (/tiles/v1/{layer}/{z}/{x}/{y}.png?date=...). GraphQL is deferred until client query patterns genuinely diversify — it is not added speculatively.</w:t>
      </w:r>
    </w:p>
    <w:p>
      <w:pPr>
        <w:pStyle w:val="Heading2"/>
        <w:spacing w:after="150" w:before="300"/>
      </w:pPr>
      <w:r>
        <w:t xml:space="preserve">13.2 Versioning &amp; Rate Limiting</w:t>
      </w:r>
    </w:p>
    <w:p>
      <w:pPr>
        <w:spacing w:after="160" w:line="276"/>
        <w:jc w:val="both"/>
      </w:pPr>
      <w:r>
        <w:rPr>
          <w:sz w:val="22"/>
          <w:szCs w:val="22"/>
        </w:rPr>
        <w:t xml:space="preserve">URL-path versioning is used for breaking changes; additive fields do not bump version. Rate limiting is enforced as a token bucket per API key at the gateway, tiered by plan, with stricter limits on expensive endpoints (ML inference, export generation) than on cache-backed tile serving.</w:t>
      </w:r>
    </w:p>
    <w:p>
      <w:pPr>
        <w:pStyle w:val="Heading2"/>
        <w:spacing w:after="150" w:before="300"/>
      </w:pPr>
      <w:r>
        <w:t xml:space="preserve">13.3 Cache Invalidation &amp; Update Strategy</w:t>
      </w:r>
    </w:p>
    <w:p>
      <w:pPr>
        <w:spacing w:after="160" w:line="276"/>
        <w:jc w:val="both"/>
      </w:pPr>
      <w:r>
        <w:rPr>
          <w:sz w:val="22"/>
          <w:szCs w:val="22"/>
        </w:rPr>
        <w:t xml:space="preserve">Tile cache keys include acquisition date, so new imagery never collides with cached historical imagery. Only 'latest' convenience endpoints use short TTLs. New imagery flows through a push pipeline — discovery, ingestion, processing, statistics, cache invalidation for affected 'latest' views, and an optional webhook to subscribed tenants — rather than users triggering a live check against Copernicus at request time.</w:t>
      </w:r>
    </w:p>
    <w:p>
      <w:pPr>
        <w:pStyle w:val="Heading1"/>
        <w:pageBreakBefore/>
        <w:spacing w:after="200" w:before="400"/>
      </w:pPr>
      <w:r>
        <w:t xml:space="preserve">14. Competitive Analysis &amp; Build vs. Integrate Strategy</w:t>
      </w:r>
    </w:p>
    <w:p>
      <w:pPr>
        <w:pStyle w:val="Heading2"/>
        <w:spacing w:after="150" w:before="300"/>
      </w:pPr>
      <w:r>
        <w:t xml:space="preserve">14.1 How Incumbents Solve This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900"/>
        <w:gridCol w:w="2000"/>
      </w:tblGrid>
      <w:tr>
        <w:trPr>
          <w:tblHeader/>
        </w:trPr>
        <w:tc>
          <w:tcPr>
            <w:tcW w:type="dxa" w:w="2200"/>
            <w:shd w:fill="1F3A5F" w:val="clear"/>
            <w:tcMar>
              <w:top w:type="dxa" w:w="80"/>
              <w:left w:type="dxa" w:w="100"/>
              <w:bottom w:type="dxa" w:w="80"/>
              <w:right w:type="dxa" w:w="100"/>
            </w:tcMar>
            <w:vAlign w:val="center"/>
          </w:tcPr>
          <w:p>
            <w:r>
              <w:rPr>
                <w:b/>
                <w:bCs/>
                <w:color w:val="FFFFFF"/>
                <w:sz w:val="19"/>
                <w:szCs w:val="19"/>
              </w:rPr>
              <w:t xml:space="preserve">Problem</w:t>
            </w:r>
          </w:p>
        </w:tc>
        <w:tc>
          <w:tcPr>
            <w:tcW w:type="dxa" w:w="2500"/>
            <w:shd w:fill="1F3A5F" w:val="clear"/>
            <w:tcMar>
              <w:top w:type="dxa" w:w="80"/>
              <w:left w:type="dxa" w:w="100"/>
              <w:bottom w:type="dxa" w:w="80"/>
              <w:right w:type="dxa" w:w="100"/>
            </w:tcMar>
            <w:vAlign w:val="center"/>
          </w:tcPr>
          <w:p>
            <w:r>
              <w:rPr>
                <w:b/>
                <w:bCs/>
                <w:color w:val="FFFFFF"/>
                <w:sz w:val="19"/>
                <w:szCs w:val="19"/>
              </w:rPr>
              <w:t xml:space="preserve">Sentinel Hub</w:t>
            </w:r>
          </w:p>
        </w:tc>
        <w:tc>
          <w:tcPr>
            <w:tcW w:type="dxa" w:w="2900"/>
            <w:shd w:fill="1F3A5F" w:val="clear"/>
            <w:tcMar>
              <w:top w:type="dxa" w:w="80"/>
              <w:left w:type="dxa" w:w="100"/>
              <w:bottom w:type="dxa" w:w="80"/>
              <w:right w:type="dxa" w:w="100"/>
            </w:tcMar>
            <w:vAlign w:val="center"/>
          </w:tcPr>
          <w:p>
            <w:r>
              <w:rPr>
                <w:b/>
                <w:bCs/>
                <w:color w:val="FFFFFF"/>
                <w:sz w:val="19"/>
                <w:szCs w:val="19"/>
              </w:rPr>
              <w:t xml:space="preserve">Google Earth Engine</w:t>
            </w:r>
          </w:p>
        </w:tc>
        <w:tc>
          <w:tcPr>
            <w:tcW w:type="dxa" w:w="2000"/>
            <w:shd w:fill="1F3A5F" w:val="clear"/>
            <w:tcMar>
              <w:top w:type="dxa" w:w="80"/>
              <w:left w:type="dxa" w:w="100"/>
              <w:bottom w:type="dxa" w:w="80"/>
              <w:right w:type="dxa" w:w="100"/>
            </w:tcMar>
            <w:vAlign w:val="center"/>
          </w:tcPr>
          <w:p>
            <w:r>
              <w:rPr>
                <w:b/>
                <w:bCs/>
                <w:color w:val="FFFFFF"/>
                <w:sz w:val="19"/>
                <w:szCs w:val="19"/>
              </w:rPr>
              <w:t xml:space="preserve">Planet Labs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Compute model</w:t>
            </w:r>
          </w:p>
        </w:tc>
        <w:tc>
          <w:tcPr>
            <w:tcW w:type="dxa" w:w="2500"/>
            <w:tcMar>
              <w:top w:type="dxa" w:w="80"/>
              <w:left w:type="dxa" w:w="100"/>
              <w:bottom w:type="dxa" w:w="80"/>
              <w:right w:type="dxa" w:w="100"/>
            </w:tcMar>
            <w:vAlign w:val="center"/>
          </w:tcPr>
          <w:p>
            <w:r>
              <w:rPr>
                <w:b w:val="false"/>
                <w:bCs w:val="false"/>
                <w:color w:val="000000"/>
                <w:sz w:val="19"/>
                <w:szCs w:val="19"/>
              </w:rPr>
              <w:t xml:space="preserve">Server-side evalscripts per tile, cached</w:t>
            </w:r>
          </w:p>
        </w:tc>
        <w:tc>
          <w:tcPr>
            <w:tcW w:type="dxa" w:w="2900"/>
            <w:tcMar>
              <w:top w:type="dxa" w:w="80"/>
              <w:left w:type="dxa" w:w="100"/>
              <w:bottom w:type="dxa" w:w="80"/>
              <w:right w:type="dxa" w:w="100"/>
            </w:tcMar>
            <w:vAlign w:val="center"/>
          </w:tcPr>
          <w:p>
            <w:r>
              <w:rPr>
                <w:b w:val="false"/>
                <w:bCs w:val="false"/>
                <w:color w:val="000000"/>
                <w:sz w:val="19"/>
                <w:szCs w:val="19"/>
              </w:rPr>
              <w:t xml:space="preserve">Distributed, lazily-evaluated computation graph, chunked over tiles</w:t>
            </w:r>
          </w:p>
        </w:tc>
        <w:tc>
          <w:tcPr>
            <w:tcW w:type="dxa" w:w="2000"/>
            <w:tcMar>
              <w:top w:type="dxa" w:w="80"/>
              <w:left w:type="dxa" w:w="100"/>
              <w:bottom w:type="dxa" w:w="80"/>
              <w:right w:type="dxa" w:w="100"/>
            </w:tcMar>
            <w:vAlign w:val="center"/>
          </w:tcPr>
          <w:p>
            <w:r>
              <w:rPr>
                <w:b w:val="false"/>
                <w:bCs w:val="false"/>
                <w:color w:val="000000"/>
                <w:sz w:val="19"/>
                <w:szCs w:val="19"/>
              </w:rPr>
              <w:t xml:space="preserve">Pre-processed daily mosaics served as static tiles</w:t>
            </w:r>
          </w:p>
        </w:tc>
      </w:tr>
      <w:tr>
        <w:tc>
          <w:tcPr>
            <w:tcW w:type="dxa" w:w="2200"/>
            <w:shd w:fill="EAF0EE" w:val="clear"/>
            <w:tcMar>
              <w:top w:type="dxa" w:w="80"/>
              <w:left w:type="dxa" w:w="100"/>
              <w:bottom w:type="dxa" w:w="80"/>
              <w:right w:type="dxa" w:w="100"/>
            </w:tcMar>
            <w:vAlign w:val="center"/>
          </w:tcPr>
          <w:p>
            <w:r>
              <w:rPr>
                <w:b w:val="false"/>
                <w:bCs w:val="false"/>
                <w:color w:val="000000"/>
                <w:sz w:val="19"/>
                <w:szCs w:val="19"/>
              </w:rPr>
              <w:t xml:space="preserve">Storage</w:t>
            </w:r>
          </w:p>
        </w:tc>
        <w:tc>
          <w:tcPr>
            <w:tcW w:type="dxa" w:w="2500"/>
            <w:shd w:fill="EAF0EE" w:val="clear"/>
            <w:tcMar>
              <w:top w:type="dxa" w:w="80"/>
              <w:left w:type="dxa" w:w="100"/>
              <w:bottom w:type="dxa" w:w="80"/>
              <w:right w:type="dxa" w:w="100"/>
            </w:tcMar>
            <w:vAlign w:val="center"/>
          </w:tcPr>
          <w:p>
            <w:r>
              <w:rPr>
                <w:b w:val="false"/>
                <w:bCs w:val="false"/>
                <w:color w:val="000000"/>
                <w:sz w:val="19"/>
                <w:szCs w:val="19"/>
              </w:rPr>
              <w:t xml:space="preserve">Proprietary tiled cache, COG-based internally</w:t>
            </w:r>
          </w:p>
        </w:tc>
        <w:tc>
          <w:tcPr>
            <w:tcW w:type="dxa" w:w="2900"/>
            <w:shd w:fill="EAF0EE" w:val="clear"/>
            <w:tcMar>
              <w:top w:type="dxa" w:w="80"/>
              <w:left w:type="dxa" w:w="100"/>
              <w:bottom w:type="dxa" w:w="80"/>
              <w:right w:type="dxa" w:w="100"/>
            </w:tcMar>
            <w:vAlign w:val="center"/>
          </w:tcPr>
          <w:p>
            <w:r>
              <w:rPr>
                <w:b w:val="false"/>
                <w:bCs w:val="false"/>
                <w:color w:val="000000"/>
                <w:sz w:val="19"/>
                <w:szCs w:val="19"/>
              </w:rPr>
              <w:t xml:space="preserve">Internal distributed store, externally COG/tile-like</w:t>
            </w:r>
          </w:p>
        </w:tc>
        <w:tc>
          <w:tcPr>
            <w:tcW w:type="dxa" w:w="2000"/>
            <w:shd w:fill="EAF0EE" w:val="clear"/>
            <w:tcMar>
              <w:top w:type="dxa" w:w="80"/>
              <w:left w:type="dxa" w:w="100"/>
              <w:bottom w:type="dxa" w:w="80"/>
              <w:right w:type="dxa" w:w="100"/>
            </w:tcMar>
            <w:vAlign w:val="center"/>
          </w:tcPr>
          <w:p>
            <w:r>
              <w:rPr>
                <w:b w:val="false"/>
                <w:bCs w:val="false"/>
                <w:color w:val="000000"/>
                <w:sz w:val="19"/>
                <w:szCs w:val="19"/>
              </w:rPr>
              <w:t xml:space="preserve">Pre-baked mosaics in object storage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API surface</w:t>
            </w:r>
          </w:p>
        </w:tc>
        <w:tc>
          <w:tcPr>
            <w:tcW w:type="dxa" w:w="2500"/>
            <w:tcMar>
              <w:top w:type="dxa" w:w="80"/>
              <w:left w:type="dxa" w:w="100"/>
              <w:bottom w:type="dxa" w:w="80"/>
              <w:right w:type="dxa" w:w="100"/>
            </w:tcMar>
            <w:vAlign w:val="center"/>
          </w:tcPr>
          <w:p>
            <w:r>
              <w:rPr>
                <w:b w:val="false"/>
                <w:bCs w:val="false"/>
                <w:color w:val="000000"/>
                <w:sz w:val="19"/>
                <w:szCs w:val="19"/>
              </w:rPr>
              <w:t xml:space="preserve">Evalscript DSL + REST</w:t>
            </w:r>
          </w:p>
        </w:tc>
        <w:tc>
          <w:tcPr>
            <w:tcW w:type="dxa" w:w="2900"/>
            <w:tcMar>
              <w:top w:type="dxa" w:w="80"/>
              <w:left w:type="dxa" w:w="100"/>
              <w:bottom w:type="dxa" w:w="80"/>
              <w:right w:type="dxa" w:w="100"/>
            </w:tcMar>
            <w:vAlign w:val="center"/>
          </w:tcPr>
          <w:p>
            <w:r>
              <w:rPr>
                <w:b w:val="false"/>
                <w:bCs w:val="false"/>
                <w:color w:val="000000"/>
                <w:sz w:val="19"/>
                <w:szCs w:val="19"/>
              </w:rPr>
              <w:t xml:space="preserve">Python/JS client generating a server-side graph</w:t>
            </w:r>
          </w:p>
        </w:tc>
        <w:tc>
          <w:tcPr>
            <w:tcW w:type="dxa" w:w="2000"/>
            <w:tcMar>
              <w:top w:type="dxa" w:w="80"/>
              <w:left w:type="dxa" w:w="100"/>
              <w:bottom w:type="dxa" w:w="80"/>
              <w:right w:type="dxa" w:w="100"/>
            </w:tcMar>
            <w:vAlign w:val="center"/>
          </w:tcPr>
          <w:p>
            <w:r>
              <w:rPr>
                <w:b w:val="false"/>
                <w:bCs w:val="false"/>
                <w:color w:val="000000"/>
                <w:sz w:val="19"/>
                <w:szCs w:val="19"/>
              </w:rPr>
              <w:t xml:space="preserve">Simple REST for mosaic/tile access</w:t>
            </w:r>
          </w:p>
        </w:tc>
      </w:tr>
    </w:tbl>
    <w:p>
      <w:pPr>
        <w:spacing w:after="160" w:line="276"/>
        <w:jc w:val="both"/>
      </w:pPr>
      <w:r>
        <w:rPr>
          <w:sz w:val="22"/>
          <w:szCs w:val="22"/>
        </w:rPr>
        <w:t xml:space="preserve">The architectural pattern common to all three — tiling, Cloud-Optimized GeoTIFF, and compute-once/lazy evaluation — is industry-standard and described in open literature (the COG specification and STAC are public standards). Vyom Engine should replicate these architectural patterns directly. What must not be replicated is any proprietary source code, evalscript DSL implementation, or scraped/redistributed processed outputs; all remote-sensing science used (index formulas, atmospheric correction methods, SCL classification) is public and standards-based, sourced from ESA/USGS documentation.</w:t>
      </w:r>
    </w:p>
    <w:p>
      <w:pPr>
        <w:pStyle w:val="Heading2"/>
        <w:spacing w:after="150" w:before="300"/>
      </w:pPr>
      <w:r>
        <w:t xml:space="preserve">14.2 Open-Source Projects to Integrate</w:t>
      </w:r>
    </w:p>
    <w:p>
      <w:pPr>
        <w:pStyle w:val="ListParagraph"/>
        <w:numPr>
          <w:ilvl w:val="0"/>
          <w:numId w:val="2"/>
        </w:numPr>
        <w:spacing w:after="80"/>
        <w:jc w:val="both"/>
      </w:pPr>
      <w:r>
        <w:t xml:space="preserve">STAC (SpatioTemporal Asset Catalog) as the shape of Vyom's own catalog schema</w:t>
      </w:r>
    </w:p>
    <w:p>
      <w:pPr>
        <w:pStyle w:val="ListParagraph"/>
        <w:numPr>
          <w:ilvl w:val="0"/>
          <w:numId w:val="2"/>
        </w:numPr>
        <w:spacing w:after="80"/>
        <w:jc w:val="both"/>
      </w:pPr>
      <w:r>
        <w:t xml:space="preserve">TiTiler for dynamic COG tile serving</w:t>
      </w:r>
    </w:p>
    <w:p>
      <w:pPr>
        <w:pStyle w:val="ListParagraph"/>
        <w:numPr>
          <w:ilvl w:val="0"/>
          <w:numId w:val="2"/>
        </w:numPr>
        <w:spacing w:after="80"/>
        <w:jc w:val="both"/>
      </w:pPr>
      <w:r>
        <w:t xml:space="preserve">rio-cogeo for COG creation and validation</w:t>
      </w:r>
    </w:p>
    <w:p>
      <w:pPr>
        <w:pStyle w:val="ListParagraph"/>
        <w:numPr>
          <w:ilvl w:val="0"/>
          <w:numId w:val="2"/>
        </w:numPr>
        <w:spacing w:after="80"/>
        <w:jc w:val="both"/>
      </w:pPr>
      <w:r>
        <w:t xml:space="preserve">exactextract / rasterstats for zonal statistics</w:t>
      </w:r>
    </w:p>
    <w:p>
      <w:pPr>
        <w:pStyle w:val="ListParagraph"/>
        <w:numPr>
          <w:ilvl w:val="0"/>
          <w:numId w:val="2"/>
        </w:numPr>
        <w:spacing w:after="80"/>
        <w:jc w:val="both"/>
      </w:pPr>
      <w:r>
        <w:t xml:space="preserve">s2cloudless / Sen2Cor for cloud masking and L1C-to-L2A correction</w:t>
      </w:r>
    </w:p>
    <w:p>
      <w:pPr>
        <w:pStyle w:val="ListParagraph"/>
        <w:numPr>
          <w:ilvl w:val="0"/>
          <w:numId w:val="2"/>
        </w:numPr>
        <w:spacing w:after="80"/>
        <w:jc w:val="both"/>
      </w:pPr>
      <w:r>
        <w:t xml:space="preserve">PostGIS native MVT (ST_AsMVT) for dynamic vector tiles</w:t>
      </w:r>
    </w:p>
    <w:p>
      <w:pPr>
        <w:pStyle w:val="ListParagraph"/>
        <w:numPr>
          <w:ilvl w:val="0"/>
          <w:numId w:val="2"/>
        </w:numPr>
        <w:spacing w:after="80"/>
        <w:jc w:val="both"/>
      </w:pPr>
      <w:r>
        <w:t xml:space="preserve">OpenStreetMap and Microsoft/Google Open Buildings as base layers for roads/buildings</w:t>
      </w:r>
    </w:p>
    <w:p>
      <w:pPr>
        <w:pStyle w:val="Heading2"/>
        <w:spacing w:after="150" w:before="300"/>
      </w:pPr>
      <w:r>
        <w:t xml:space="preserve">14.3 What Should Be Built In-House</w:t>
      </w:r>
    </w:p>
    <w:p>
      <w:pPr>
        <w:pStyle w:val="ListParagraph"/>
        <w:numPr>
          <w:ilvl w:val="0"/>
          <w:numId w:val="2"/>
        </w:numPr>
        <w:spacing w:after="80"/>
        <w:jc w:val="both"/>
      </w:pPr>
      <w:r>
        <w:t xml:space="preserve">The tile-first zonal-statistics compute engine and the orchestration logic tying discovery, processing, statistics, and serving together</w:t>
      </w:r>
    </w:p>
    <w:p>
      <w:pPr>
        <w:pStyle w:val="ListParagraph"/>
        <w:numPr>
          <w:ilvl w:val="0"/>
          <w:numId w:val="2"/>
        </w:numPr>
        <w:spacing w:after="80"/>
        <w:jc w:val="both"/>
      </w:pPr>
      <w:r>
        <w:t xml:space="preserve">Vertical-specific analytics — crop health scoring, mine boundary compliance, flood-risk-to-insurance-payout logic — where Vyom's actual product value lives</w:t>
      </w:r>
    </w:p>
    <w:p>
      <w:pPr>
        <w:pStyle w:val="ListParagraph"/>
        <w:numPr>
          <w:ilvl w:val="0"/>
          <w:numId w:val="2"/>
        </w:numPr>
        <w:spacing w:after="80"/>
        <w:jc w:val="both"/>
      </w:pPr>
      <w:r>
        <w:t xml:space="preserve">Multi-tenant billing and quota logic tailored to the Indian market and Razorpay</w:t>
      </w:r>
    </w:p>
    <w:p>
      <w:pPr>
        <w:pStyle w:val="ListParagraph"/>
        <w:numPr>
          <w:ilvl w:val="0"/>
          <w:numId w:val="2"/>
        </w:numPr>
        <w:spacing w:after="80"/>
        <w:jc w:val="both"/>
      </w:pPr>
      <w:r>
        <w:t xml:space="preserve">AI models trained specifically on Indian agro-climatic zones and cropping patterns</w:t>
      </w:r>
    </w:p>
    <w:p>
      <w:pPr>
        <w:pStyle w:val="Heading1"/>
        <w:pageBreakBefore/>
        <w:spacing w:after="200" w:before="400"/>
      </w:pPr>
      <w:r>
        <w:t xml:space="preserve">15. Scaling to 10 Million Polygons</w:t>
      </w:r>
    </w:p>
    <w:p>
      <w:pPr>
        <w:spacing w:after="160" w:line="276"/>
        <w:jc w:val="both"/>
      </w:pPr>
      <w:r>
        <w:rPr>
          <w:sz w:val="22"/>
          <w:szCs w:val="22"/>
        </w:rPr>
        <w:t xml:space="preserve">The path from 100K to 10M polygons is not uniform horizontal scaling — different components hit different constraints at different points:</w:t>
      </w:r>
    </w:p>
    <w:p>
      <w:pPr>
        <w:pStyle w:val="ListParagraph"/>
        <w:numPr>
          <w:ilvl w:val="0"/>
          <w:numId w:val="3"/>
        </w:numPr>
        <w:spacing w:after="80"/>
        <w:jc w:val="both"/>
      </w:pPr>
      <w:r>
        <w:t xml:space="preserve">polygons table — partitioned by tenant hash; remains performant well past 10M rows, with partitioning primarily aiding operational tasks (tenant-scoped maintenance, offboarding).</w:t>
      </w:r>
    </w:p>
    <w:p>
      <w:pPr>
        <w:pStyle w:val="ListParagraph"/>
        <w:numPr>
          <w:ilvl w:val="0"/>
          <w:numId w:val="3"/>
        </w:numPr>
        <w:spacing w:after="80"/>
        <w:jc w:val="both"/>
      </w:pPr>
      <w:r>
        <w:t xml:space="preserve">polygon_tile_map — grows faster than polygon count (large/multi-tile polygons); at 10M polygons this may reach 15-30M rows, still trivially indexable if refreshed incrementally rather than fully recomputed.</w:t>
      </w:r>
    </w:p>
    <w:p>
      <w:pPr>
        <w:pStyle w:val="ListParagraph"/>
        <w:numPr>
          <w:ilvl w:val="0"/>
          <w:numId w:val="3"/>
        </w:numPr>
        <w:spacing w:after="80"/>
        <w:jc w:val="both"/>
      </w:pPr>
      <w:r>
        <w:t xml:space="preserve">zonal_stats — the real scaling challenge: 10M polygons x ~5 metrics x ~50 acquisitions/year implies roughly 2.5 billion rows per year. Native Postgres partitioning suffices to the low millions of polygons; migration to TimescaleDB or ClickHouse for this table specifically should be a planned Phase 3 milestone.</w:t>
      </w:r>
    </w:p>
    <w:p>
      <w:pPr>
        <w:pStyle w:val="ListParagraph"/>
        <w:numPr>
          <w:ilvl w:val="0"/>
          <w:numId w:val="3"/>
        </w:numPr>
        <w:spacing w:after="80"/>
        <w:jc w:val="both"/>
      </w:pPr>
      <w:r>
        <w:t xml:space="preserve">Processing throughput — an embarrassingly parallel Celery workload scaled by adding worker nodes; the real constraint at this scale is Copernicus download throughput (account pool size and PU budget), not owned compute.</w:t>
      </w:r>
    </w:p>
    <w:p>
      <w:pPr>
        <w:pStyle w:val="ListParagraph"/>
        <w:numPr>
          <w:ilvl w:val="0"/>
          <w:numId w:val="3"/>
        </w:numPr>
        <w:spacing w:after="80"/>
        <w:jc w:val="both"/>
      </w:pPr>
      <w:r>
        <w:t xml:space="preserve">Tile serving — cache hit rate dominates; CDN investment (CloudFront/Cloudflare) in front of TiTiler becomes necessary once public-map-viewer traffic (not just polygon owners) becomes significant.</w:t>
      </w:r>
    </w:p>
    <w:p>
      <w:pPr>
        <w:pStyle w:val="Heading1"/>
        <w:pageBreakBefore/>
        <w:spacing w:after="200" w:before="400"/>
      </w:pPr>
      <w:r>
        <w:t xml:space="preserve">16. Recommended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3A5F" w:val="clear"/>
            <w:tcMar>
              <w:top w:type="dxa" w:w="80"/>
              <w:left w:type="dxa" w:w="100"/>
              <w:bottom w:type="dxa" w:w="80"/>
              <w:right w:type="dxa" w:w="100"/>
            </w:tcMar>
            <w:vAlign w:val="center"/>
          </w:tcPr>
          <w:p>
            <w:r>
              <w:rPr>
                <w:b/>
                <w:bCs/>
                <w:color w:val="FFFFFF"/>
                <w:sz w:val="19"/>
                <w:szCs w:val="19"/>
              </w:rPr>
              <w:t xml:space="preserve">Layer</w:t>
            </w:r>
          </w:p>
        </w:tc>
        <w:tc>
          <w:tcPr>
            <w:tcW w:type="dxa" w:w="6800"/>
            <w:shd w:fill="1F3A5F" w:val="clear"/>
            <w:tcMar>
              <w:top w:type="dxa" w:w="80"/>
              <w:left w:type="dxa" w:w="100"/>
              <w:bottom w:type="dxa" w:w="80"/>
              <w:right w:type="dxa" w:w="100"/>
            </w:tcMar>
            <w:vAlign w:val="center"/>
          </w:tcPr>
          <w:p>
            <w:r>
              <w:rPr>
                <w:b/>
                <w:bCs/>
                <w:color w:val="FFFFFF"/>
                <w:sz w:val="19"/>
                <w:szCs w:val="19"/>
              </w:rPr>
              <w:t xml:space="preserve">Technology</w:t>
            </w:r>
          </w:p>
        </w:tc>
      </w:tr>
      <w:tr>
        <w:tc>
          <w:tcPr>
            <w:tcW w:type="dxa" w:w="2800"/>
            <w:tcMar>
              <w:top w:type="dxa" w:w="80"/>
              <w:left w:type="dxa" w:w="100"/>
              <w:bottom w:type="dxa" w:w="80"/>
              <w:right w:type="dxa" w:w="100"/>
            </w:tcMar>
            <w:vAlign w:val="center"/>
          </w:tcPr>
          <w:p>
            <w:r>
              <w:rPr>
                <w:b w:val="false"/>
                <w:bCs w:val="false"/>
                <w:color w:val="000000"/>
                <w:sz w:val="19"/>
                <w:szCs w:val="19"/>
              </w:rPr>
              <w:t xml:space="preserve">Application language</w:t>
            </w:r>
          </w:p>
        </w:tc>
        <w:tc>
          <w:tcPr>
            <w:tcW w:type="dxa" w:w="6800"/>
            <w:tcMar>
              <w:top w:type="dxa" w:w="80"/>
              <w:left w:type="dxa" w:w="100"/>
              <w:bottom w:type="dxa" w:w="80"/>
              <w:right w:type="dxa" w:w="100"/>
            </w:tcMar>
            <w:vAlign w:val="center"/>
          </w:tcPr>
          <w:p>
            <w:r>
              <w:rPr>
                <w:b w:val="false"/>
                <w:bCs w:val="false"/>
                <w:color w:val="000000"/>
                <w:sz w:val="19"/>
                <w:szCs w:val="19"/>
              </w:rPr>
              <w:t xml:space="preserve">Python (FastAPI, Celery) throughout backend</w:t>
            </w:r>
          </w:p>
        </w:tc>
      </w:tr>
      <w:tr>
        <w:tc>
          <w:tcPr>
            <w:tcW w:type="dxa" w:w="2800"/>
            <w:shd w:fill="EAF0EE" w:val="clear"/>
            <w:tcMar>
              <w:top w:type="dxa" w:w="80"/>
              <w:left w:type="dxa" w:w="100"/>
              <w:bottom w:type="dxa" w:w="80"/>
              <w:right w:type="dxa" w:w="100"/>
            </w:tcMar>
            <w:vAlign w:val="center"/>
          </w:tcPr>
          <w:p>
            <w:r>
              <w:rPr>
                <w:b w:val="false"/>
                <w:bCs w:val="false"/>
                <w:color w:val="000000"/>
                <w:sz w:val="19"/>
                <w:szCs w:val="19"/>
              </w:rPr>
              <w:t xml:space="preserve">Geospatial libraries</w:t>
            </w:r>
          </w:p>
        </w:tc>
        <w:tc>
          <w:tcPr>
            <w:tcW w:type="dxa" w:w="6800"/>
            <w:shd w:fill="EAF0EE" w:val="clear"/>
            <w:tcMar>
              <w:top w:type="dxa" w:w="80"/>
              <w:left w:type="dxa" w:w="100"/>
              <w:bottom w:type="dxa" w:w="80"/>
              <w:right w:type="dxa" w:w="100"/>
            </w:tcMar>
            <w:vAlign w:val="center"/>
          </w:tcPr>
          <w:p>
            <w:r>
              <w:rPr>
                <w:b w:val="false"/>
                <w:bCs w:val="false"/>
                <w:color w:val="000000"/>
                <w:sz w:val="19"/>
                <w:szCs w:val="19"/>
              </w:rPr>
              <w:t xml:space="preserve">GDAL, Rasterio, GeoPandas, Shapely, rio-cogeo, exactextract, pyproj</w:t>
            </w:r>
          </w:p>
        </w:tc>
      </w:tr>
      <w:tr>
        <w:tc>
          <w:tcPr>
            <w:tcW w:type="dxa" w:w="2800"/>
            <w:tcMar>
              <w:top w:type="dxa" w:w="80"/>
              <w:left w:type="dxa" w:w="100"/>
              <w:bottom w:type="dxa" w:w="80"/>
              <w:right w:type="dxa" w:w="100"/>
            </w:tcMar>
            <w:vAlign w:val="center"/>
          </w:tcPr>
          <w:p>
            <w:r>
              <w:rPr>
                <w:b w:val="false"/>
                <w:bCs w:val="false"/>
                <w:color w:val="000000"/>
                <w:sz w:val="19"/>
                <w:szCs w:val="19"/>
              </w:rPr>
              <w:t xml:space="preserve">Database</w:t>
            </w:r>
          </w:p>
        </w:tc>
        <w:tc>
          <w:tcPr>
            <w:tcW w:type="dxa" w:w="6800"/>
            <w:tcMar>
              <w:top w:type="dxa" w:w="80"/>
              <w:left w:type="dxa" w:w="100"/>
              <w:bottom w:type="dxa" w:w="80"/>
              <w:right w:type="dxa" w:w="100"/>
            </w:tcMar>
            <w:vAlign w:val="center"/>
          </w:tcPr>
          <w:p>
            <w:r>
              <w:rPr>
                <w:b w:val="false"/>
                <w:bCs w:val="false"/>
                <w:color w:val="000000"/>
                <w:sz w:val="19"/>
                <w:szCs w:val="19"/>
              </w:rPr>
              <w:t xml:space="preserve">PostgreSQL + PostGIS (+ TimescaleDB extension for statistics at scale)</w:t>
            </w:r>
          </w:p>
        </w:tc>
      </w:tr>
      <w:tr>
        <w:tc>
          <w:tcPr>
            <w:tcW w:type="dxa" w:w="2800"/>
            <w:shd w:fill="EAF0EE" w:val="clear"/>
            <w:tcMar>
              <w:top w:type="dxa" w:w="80"/>
              <w:left w:type="dxa" w:w="100"/>
              <w:bottom w:type="dxa" w:w="80"/>
              <w:right w:type="dxa" w:w="100"/>
            </w:tcMar>
            <w:vAlign w:val="center"/>
          </w:tcPr>
          <w:p>
            <w:r>
              <w:rPr>
                <w:b w:val="false"/>
                <w:bCs w:val="false"/>
                <w:color w:val="000000"/>
                <w:sz w:val="19"/>
                <w:szCs w:val="19"/>
              </w:rPr>
              <w:t xml:space="preserve">Object storage</w:t>
            </w:r>
          </w:p>
        </w:tc>
        <w:tc>
          <w:tcPr>
            <w:tcW w:type="dxa" w:w="6800"/>
            <w:shd w:fill="EAF0EE" w:val="clear"/>
            <w:tcMar>
              <w:top w:type="dxa" w:w="80"/>
              <w:left w:type="dxa" w:w="100"/>
              <w:bottom w:type="dxa" w:w="80"/>
              <w:right w:type="dxa" w:w="100"/>
            </w:tcMar>
            <w:vAlign w:val="center"/>
          </w:tcPr>
          <w:p>
            <w:r>
              <w:rPr>
                <w:b w:val="false"/>
                <w:bCs w:val="false"/>
                <w:color w:val="000000"/>
                <w:sz w:val="19"/>
                <w:szCs w:val="19"/>
              </w:rPr>
              <w:t xml:space="preserve">MinIO (self-hosted), migrating to S3-compatible cloud storage as needed</w:t>
            </w:r>
          </w:p>
        </w:tc>
      </w:tr>
      <w:tr>
        <w:tc>
          <w:tcPr>
            <w:tcW w:type="dxa" w:w="2800"/>
            <w:tcMar>
              <w:top w:type="dxa" w:w="80"/>
              <w:left w:type="dxa" w:w="100"/>
              <w:bottom w:type="dxa" w:w="80"/>
              <w:right w:type="dxa" w:w="100"/>
            </w:tcMar>
            <w:vAlign w:val="center"/>
          </w:tcPr>
          <w:p>
            <w:r>
              <w:rPr>
                <w:b w:val="false"/>
                <w:bCs w:val="false"/>
                <w:color w:val="000000"/>
                <w:sz w:val="19"/>
                <w:szCs w:val="19"/>
              </w:rPr>
              <w:t xml:space="preserve">Cache / queue</w:t>
            </w:r>
          </w:p>
        </w:tc>
        <w:tc>
          <w:tcPr>
            <w:tcW w:type="dxa" w:w="6800"/>
            <w:tcMar>
              <w:top w:type="dxa" w:w="80"/>
              <w:left w:type="dxa" w:w="100"/>
              <w:bottom w:type="dxa" w:w="80"/>
              <w:right w:type="dxa" w:w="100"/>
            </w:tcMar>
            <w:vAlign w:val="center"/>
          </w:tcPr>
          <w:p>
            <w:r>
              <w:rPr>
                <w:b w:val="false"/>
                <w:bCs w:val="false"/>
                <w:color w:val="000000"/>
                <w:sz w:val="19"/>
                <w:szCs w:val="19"/>
              </w:rPr>
              <w:t xml:space="preserve">Redis (cache + Celery broker); RabbitMQ if advanced priority-queue features are needed</w:t>
            </w:r>
          </w:p>
        </w:tc>
      </w:tr>
      <w:tr>
        <w:tc>
          <w:tcPr>
            <w:tcW w:type="dxa" w:w="2800"/>
            <w:shd w:fill="EAF0EE" w:val="clear"/>
            <w:tcMar>
              <w:top w:type="dxa" w:w="80"/>
              <w:left w:type="dxa" w:w="100"/>
              <w:bottom w:type="dxa" w:w="80"/>
              <w:right w:type="dxa" w:w="100"/>
            </w:tcMar>
            <w:vAlign w:val="center"/>
          </w:tcPr>
          <w:p>
            <w:r>
              <w:rPr>
                <w:b w:val="false"/>
                <w:bCs w:val="false"/>
                <w:color w:val="000000"/>
                <w:sz w:val="19"/>
                <w:szCs w:val="19"/>
              </w:rPr>
              <w:t xml:space="preserve">Tile serving</w:t>
            </w:r>
          </w:p>
        </w:tc>
        <w:tc>
          <w:tcPr>
            <w:tcW w:type="dxa" w:w="6800"/>
            <w:shd w:fill="EAF0EE" w:val="clear"/>
            <w:tcMar>
              <w:top w:type="dxa" w:w="80"/>
              <w:left w:type="dxa" w:w="100"/>
              <w:bottom w:type="dxa" w:w="80"/>
              <w:right w:type="dxa" w:w="100"/>
            </w:tcMar>
            <w:vAlign w:val="center"/>
          </w:tcPr>
          <w:p>
            <w:r>
              <w:rPr>
                <w:b w:val="false"/>
                <w:bCs w:val="false"/>
                <w:color w:val="000000"/>
                <w:sz w:val="19"/>
                <w:szCs w:val="19"/>
              </w:rPr>
              <w:t xml:space="preserve">TiTiler</w:t>
            </w:r>
          </w:p>
        </w:tc>
      </w:tr>
      <w:tr>
        <w:tc>
          <w:tcPr>
            <w:tcW w:type="dxa" w:w="2800"/>
            <w:tcMar>
              <w:top w:type="dxa" w:w="80"/>
              <w:left w:type="dxa" w:w="100"/>
              <w:bottom w:type="dxa" w:w="80"/>
              <w:right w:type="dxa" w:w="100"/>
            </w:tcMar>
            <w:vAlign w:val="center"/>
          </w:tcPr>
          <w:p>
            <w:r>
              <w:rPr>
                <w:b w:val="false"/>
                <w:bCs w:val="false"/>
                <w:color w:val="000000"/>
                <w:sz w:val="19"/>
                <w:szCs w:val="19"/>
              </w:rPr>
              <w:t xml:space="preserve">ML serving</w:t>
            </w:r>
          </w:p>
        </w:tc>
        <w:tc>
          <w:tcPr>
            <w:tcW w:type="dxa" w:w="6800"/>
            <w:tcMar>
              <w:top w:type="dxa" w:w="80"/>
              <w:left w:type="dxa" w:w="100"/>
              <w:bottom w:type="dxa" w:w="80"/>
              <w:right w:type="dxa" w:w="100"/>
            </w:tcMar>
            <w:vAlign w:val="center"/>
          </w:tcPr>
          <w:p>
            <w:r>
              <w:rPr>
                <w:b w:val="false"/>
                <w:bCs w:val="false"/>
                <w:color w:val="000000"/>
                <w:sz w:val="19"/>
                <w:szCs w:val="19"/>
              </w:rPr>
              <w:t xml:space="preserve">NVIDIA Triton Inference Server or TorchServe, behind FastAPI</w:t>
            </w:r>
          </w:p>
        </w:tc>
      </w:tr>
      <w:tr>
        <w:tc>
          <w:tcPr>
            <w:tcW w:type="dxa" w:w="2800"/>
            <w:shd w:fill="EAF0EE" w:val="clear"/>
            <w:tcMar>
              <w:top w:type="dxa" w:w="80"/>
              <w:left w:type="dxa" w:w="100"/>
              <w:bottom w:type="dxa" w:w="80"/>
              <w:right w:type="dxa" w:w="100"/>
            </w:tcMar>
            <w:vAlign w:val="center"/>
          </w:tcPr>
          <w:p>
            <w:r>
              <w:rPr>
                <w:b w:val="false"/>
                <w:bCs w:val="false"/>
                <w:color w:val="000000"/>
                <w:sz w:val="19"/>
                <w:szCs w:val="19"/>
              </w:rPr>
              <w:t xml:space="preserve">Orchestration</w:t>
            </w:r>
          </w:p>
        </w:tc>
        <w:tc>
          <w:tcPr>
            <w:tcW w:type="dxa" w:w="6800"/>
            <w:shd w:fill="EAF0EE" w:val="clear"/>
            <w:tcMar>
              <w:top w:type="dxa" w:w="80"/>
              <w:left w:type="dxa" w:w="100"/>
              <w:bottom w:type="dxa" w:w="80"/>
              <w:right w:type="dxa" w:w="100"/>
            </w:tcMar>
            <w:vAlign w:val="center"/>
          </w:tcPr>
          <w:p>
            <w:r>
              <w:rPr>
                <w:b w:val="false"/>
                <w:bCs w:val="false"/>
                <w:color w:val="000000"/>
                <w:sz w:val="19"/>
                <w:szCs w:val="19"/>
              </w:rPr>
              <w:t xml:space="preserve">Kubernetes + Helm (post-MVP)</w:t>
            </w:r>
          </w:p>
        </w:tc>
      </w:tr>
      <w:tr>
        <w:tc>
          <w:tcPr>
            <w:tcW w:type="dxa" w:w="2800"/>
            <w:tcMar>
              <w:top w:type="dxa" w:w="80"/>
              <w:left w:type="dxa" w:w="100"/>
              <w:bottom w:type="dxa" w:w="80"/>
              <w:right w:type="dxa" w:w="100"/>
            </w:tcMar>
            <w:vAlign w:val="center"/>
          </w:tcPr>
          <w:p>
            <w:r>
              <w:rPr>
                <w:b w:val="false"/>
                <w:bCs w:val="false"/>
                <w:color w:val="000000"/>
                <w:sz w:val="19"/>
                <w:szCs w:val="19"/>
              </w:rPr>
              <w:t xml:space="preserve">Observability</w:t>
            </w:r>
          </w:p>
        </w:tc>
        <w:tc>
          <w:tcPr>
            <w:tcW w:type="dxa" w:w="6800"/>
            <w:tcMar>
              <w:top w:type="dxa" w:w="80"/>
              <w:left w:type="dxa" w:w="100"/>
              <w:bottom w:type="dxa" w:w="80"/>
              <w:right w:type="dxa" w:w="100"/>
            </w:tcMar>
            <w:vAlign w:val="center"/>
          </w:tcPr>
          <w:p>
            <w:r>
              <w:rPr>
                <w:b w:val="false"/>
                <w:bCs w:val="false"/>
                <w:color w:val="000000"/>
                <w:sz w:val="19"/>
                <w:szCs w:val="19"/>
              </w:rPr>
              <w:t xml:space="preserve">Prometheus, Grafana, Loki, OpenTelemetry</w:t>
            </w:r>
          </w:p>
        </w:tc>
      </w:tr>
      <w:tr>
        <w:tc>
          <w:tcPr>
            <w:tcW w:type="dxa" w:w="2800"/>
            <w:shd w:fill="EAF0EE" w:val="clear"/>
            <w:tcMar>
              <w:top w:type="dxa" w:w="80"/>
              <w:left w:type="dxa" w:w="100"/>
              <w:bottom w:type="dxa" w:w="80"/>
              <w:right w:type="dxa" w:w="100"/>
            </w:tcMar>
            <w:vAlign w:val="center"/>
          </w:tcPr>
          <w:p>
            <w:r>
              <w:rPr>
                <w:b w:val="false"/>
                <w:bCs w:val="false"/>
                <w:color w:val="000000"/>
                <w:sz w:val="19"/>
                <w:szCs w:val="19"/>
              </w:rPr>
              <w:t xml:space="preserve">CI/CD</w:t>
            </w:r>
          </w:p>
        </w:tc>
        <w:tc>
          <w:tcPr>
            <w:tcW w:type="dxa" w:w="6800"/>
            <w:shd w:fill="EAF0EE" w:val="clear"/>
            <w:tcMar>
              <w:top w:type="dxa" w:w="80"/>
              <w:left w:type="dxa" w:w="100"/>
              <w:bottom w:type="dxa" w:w="80"/>
              <w:right w:type="dxa" w:w="100"/>
            </w:tcMar>
            <w:vAlign w:val="center"/>
          </w:tcPr>
          <w:p>
            <w:r>
              <w:rPr>
                <w:b w:val="false"/>
                <w:bCs w:val="false"/>
                <w:color w:val="000000"/>
                <w:sz w:val="19"/>
                <w:szCs w:val="19"/>
              </w:rPr>
              <w:t xml:space="preserve">GitHub Actions</w:t>
            </w:r>
          </w:p>
        </w:tc>
      </w:tr>
      <w:tr>
        <w:tc>
          <w:tcPr>
            <w:tcW w:type="dxa" w:w="2800"/>
            <w:tcMar>
              <w:top w:type="dxa" w:w="80"/>
              <w:left w:type="dxa" w:w="100"/>
              <w:bottom w:type="dxa" w:w="80"/>
              <w:right w:type="dxa" w:w="100"/>
            </w:tcMar>
            <w:vAlign w:val="center"/>
          </w:tcPr>
          <w:p>
            <w:r>
              <w:rPr>
                <w:b w:val="false"/>
                <w:bCs w:val="false"/>
                <w:color w:val="000000"/>
                <w:sz w:val="19"/>
                <w:szCs w:val="19"/>
              </w:rPr>
              <w:t xml:space="preserve">Gateway</w:t>
            </w:r>
          </w:p>
        </w:tc>
        <w:tc>
          <w:tcPr>
            <w:tcW w:type="dxa" w:w="6800"/>
            <w:tcMar>
              <w:top w:type="dxa" w:w="80"/>
              <w:left w:type="dxa" w:w="100"/>
              <w:bottom w:type="dxa" w:w="80"/>
              <w:right w:type="dxa" w:w="100"/>
            </w:tcMar>
            <w:vAlign w:val="center"/>
          </w:tcPr>
          <w:p>
            <w:r>
              <w:rPr>
                <w:b w:val="false"/>
                <w:bCs w:val="false"/>
                <w:color w:val="000000"/>
                <w:sz w:val="19"/>
                <w:szCs w:val="19"/>
              </w:rPr>
              <w:t xml:space="preserve">Kong or Traefik</w:t>
            </w:r>
          </w:p>
        </w:tc>
      </w:tr>
      <w:tr>
        <w:tc>
          <w:tcPr>
            <w:tcW w:type="dxa" w:w="2800"/>
            <w:shd w:fill="EAF0EE" w:val="clear"/>
            <w:tcMar>
              <w:top w:type="dxa" w:w="80"/>
              <w:left w:type="dxa" w:w="100"/>
              <w:bottom w:type="dxa" w:w="80"/>
              <w:right w:type="dxa" w:w="100"/>
            </w:tcMar>
            <w:vAlign w:val="center"/>
          </w:tcPr>
          <w:p>
            <w:r>
              <w:rPr>
                <w:b w:val="false"/>
                <w:bCs w:val="false"/>
                <w:color w:val="000000"/>
                <w:sz w:val="19"/>
                <w:szCs w:val="19"/>
              </w:rPr>
              <w:t xml:space="preserve">Identity</w:t>
            </w:r>
          </w:p>
        </w:tc>
        <w:tc>
          <w:tcPr>
            <w:tcW w:type="dxa" w:w="6800"/>
            <w:shd w:fill="EAF0EE" w:val="clear"/>
            <w:tcMar>
              <w:top w:type="dxa" w:w="80"/>
              <w:left w:type="dxa" w:w="100"/>
              <w:bottom w:type="dxa" w:w="80"/>
              <w:right w:type="dxa" w:w="100"/>
            </w:tcMar>
            <w:vAlign w:val="center"/>
          </w:tcPr>
          <w:p>
            <w:r>
              <w:rPr>
                <w:b w:val="false"/>
                <w:bCs w:val="false"/>
                <w:color w:val="000000"/>
                <w:sz w:val="19"/>
                <w:szCs w:val="19"/>
              </w:rPr>
              <w:t xml:space="preserve">Keycloak</w:t>
            </w:r>
          </w:p>
        </w:tc>
      </w:tr>
    </w:tbl>
    <w:p>
      <w:pPr>
        <w:pStyle w:val="Heading1"/>
        <w:pageBreakBefore/>
        <w:spacing w:after="200" w:before="400"/>
      </w:pPr>
      <w:r>
        <w:t xml:space="preserve">17. Hardware, Infrastructure &amp; Cost Considerations</w:t>
      </w:r>
    </w:p>
    <w:p>
      <w:pPr>
        <w:pStyle w:val="Heading2"/>
        <w:spacing w:after="150" w:before="300"/>
      </w:pPr>
      <w:r>
        <w:t xml:space="preserve">17.1 CPU, GPU, Storage, and RAM</w:t>
      </w:r>
    </w:p>
    <w:p>
      <w:pPr>
        <w:pStyle w:val="ListParagraph"/>
        <w:numPr>
          <w:ilvl w:val="0"/>
          <w:numId w:val="2"/>
        </w:numPr>
        <w:spacing w:after="80"/>
        <w:jc w:val="both"/>
      </w:pPr>
      <w:r>
        <w:t xml:space="preserve">CPU: tile processing is CPU-bound and parallelizes trivially per tile; national-scale India coverage (roughly 150-200 S2 tiles, 5-day revisit) is a modest, steady background load, scaling to hundreds of vCPUs once Sentinel-1/3/5P and tighter latency targets are added.</w:t>
      </w:r>
    </w:p>
    <w:p>
      <w:pPr>
        <w:pStyle w:val="ListParagraph"/>
        <w:numPr>
          <w:ilvl w:val="0"/>
          <w:numId w:val="2"/>
        </w:numPr>
        <w:spacing w:after="80"/>
        <w:jc w:val="both"/>
      </w:pPr>
      <w:r>
        <w:t xml:space="preserve">GPU: needed only for ML inference and training. Start with 1-2 mid-tier GPUs (A10/L4-class) for inference serving with Triton batching; rent burst GPU capacity for periodic training rather than owning it.</w:t>
      </w:r>
    </w:p>
    <w:p>
      <w:pPr>
        <w:pStyle w:val="ListParagraph"/>
        <w:numPr>
          <w:ilvl w:val="0"/>
          <w:numId w:val="2"/>
        </w:numPr>
        <w:spacing w:after="80"/>
        <w:jc w:val="both"/>
      </w:pPr>
      <w:r>
        <w:t xml:space="preserve">Storage: full India-coverage Sentinel-2 L2A COG archive runs into multiple terabytes per year depending on band selection and compression; lifecycle rules (raw deletion post-processing, cold-tiering after 2 years) should be planned from day one, since object storage is the largest recurring cost line item at scale.</w:t>
      </w:r>
    </w:p>
    <w:p>
      <w:pPr>
        <w:pStyle w:val="ListParagraph"/>
        <w:numPr>
          <w:ilvl w:val="0"/>
          <w:numId w:val="2"/>
        </w:numPr>
        <w:spacing w:after="80"/>
        <w:jc w:val="both"/>
      </w:pPr>
      <w:r>
        <w:t xml:space="preserve">RAM: processing workers typically need 4-8GB each, since COG's tiled structure avoids loading full scenes into memory; the database host should be sized to comfortably hold working-set indexes in memory, especially past 10M polygons.</w:t>
      </w:r>
    </w:p>
    <w:p>
      <w:pPr>
        <w:pStyle w:val="Heading2"/>
        <w:spacing w:after="150" w:before="300"/>
      </w:pPr>
      <w:r>
        <w:t xml:space="preserve">17.2 Cost Shape by Scale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00"/>
      </w:tblGrid>
      <w:tr>
        <w:trPr>
          <w:tblHeader/>
        </w:trPr>
        <w:tc>
          <w:tcPr>
            <w:tcW w:type="dxa" w:w="1800"/>
            <w:shd w:fill="1F3A5F" w:val="clear"/>
            <w:tcMar>
              <w:top w:type="dxa" w:w="80"/>
              <w:left w:type="dxa" w:w="100"/>
              <w:bottom w:type="dxa" w:w="80"/>
              <w:right w:type="dxa" w:w="100"/>
            </w:tcMar>
            <w:vAlign w:val="center"/>
          </w:tcPr>
          <w:p>
            <w:r>
              <w:rPr>
                <w:b/>
                <w:bCs/>
                <w:color w:val="FFFFFF"/>
                <w:sz w:val="19"/>
                <w:szCs w:val="19"/>
              </w:rPr>
              <w:t xml:space="preserve">Scale</w:t>
            </w:r>
          </w:p>
        </w:tc>
        <w:tc>
          <w:tcPr>
            <w:tcW w:type="dxa" w:w="3800"/>
            <w:shd w:fill="1F3A5F" w:val="clear"/>
            <w:tcMar>
              <w:top w:type="dxa" w:w="80"/>
              <w:left w:type="dxa" w:w="100"/>
              <w:bottom w:type="dxa" w:w="80"/>
              <w:right w:type="dxa" w:w="100"/>
            </w:tcMar>
            <w:vAlign w:val="center"/>
          </w:tcPr>
          <w:p>
            <w:r>
              <w:rPr>
                <w:b/>
                <w:bCs/>
                <w:color w:val="FFFFFF"/>
                <w:sz w:val="19"/>
                <w:szCs w:val="19"/>
              </w:rPr>
              <w:t xml:space="preserve">Dominant Cost Driver</w:t>
            </w:r>
          </w:p>
        </w:tc>
        <w:tc>
          <w:tcPr>
            <w:tcW w:type="dxa" w:w="4000"/>
            <w:shd w:fill="1F3A5F" w:val="clear"/>
            <w:tcMar>
              <w:top w:type="dxa" w:w="80"/>
              <w:left w:type="dxa" w:w="100"/>
              <w:bottom w:type="dxa" w:w="80"/>
              <w:right w:type="dxa" w:w="100"/>
            </w:tcMar>
            <w:vAlign w:val="center"/>
          </w:tcPr>
          <w:p>
            <w:r>
              <w:rPr>
                <w:b/>
                <w:bCs/>
                <w:color w:val="FFFFFF"/>
                <w:sz w:val="19"/>
                <w:szCs w:val="19"/>
              </w:rPr>
              <w:t xml:space="preserve">Rough Shape</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100K polygons</w:t>
            </w:r>
          </w:p>
        </w:tc>
        <w:tc>
          <w:tcPr>
            <w:tcW w:type="dxa" w:w="3800"/>
            <w:tcMar>
              <w:top w:type="dxa" w:w="80"/>
              <w:left w:type="dxa" w:w="100"/>
              <w:bottom w:type="dxa" w:w="80"/>
              <w:right w:type="dxa" w:w="100"/>
            </w:tcMar>
            <w:vAlign w:val="center"/>
          </w:tcPr>
          <w:p>
            <w:r>
              <w:rPr>
                <w:b w:val="false"/>
                <w:bCs w:val="false"/>
                <w:color w:val="000000"/>
                <w:sz w:val="19"/>
                <w:szCs w:val="19"/>
              </w:rPr>
              <w:t xml:space="preserve">Compute (processing workers) + small object storage</w:t>
            </w:r>
          </w:p>
        </w:tc>
        <w:tc>
          <w:tcPr>
            <w:tcW w:type="dxa" w:w="4000"/>
            <w:tcMar>
              <w:top w:type="dxa" w:w="80"/>
              <w:left w:type="dxa" w:w="100"/>
              <w:bottom w:type="dxa" w:w="80"/>
              <w:right w:type="dxa" w:w="100"/>
            </w:tcMar>
            <w:vAlign w:val="center"/>
          </w:tcPr>
          <w:p>
            <w:r>
              <w:rPr>
                <w:b w:val="false"/>
                <w:bCs w:val="false"/>
                <w:color w:val="000000"/>
                <w:sz w:val="19"/>
                <w:szCs w:val="19"/>
              </w:rPr>
              <w:t xml:space="preserve">Low — a handful of servers/VMs, modest storage bill, easily self-hostable</w:t>
            </w:r>
          </w:p>
        </w:tc>
      </w:tr>
      <w:tr>
        <w:tc>
          <w:tcPr>
            <w:tcW w:type="dxa" w:w="1800"/>
            <w:shd w:fill="EAF0EE" w:val="clear"/>
            <w:tcMar>
              <w:top w:type="dxa" w:w="80"/>
              <w:left w:type="dxa" w:w="100"/>
              <w:bottom w:type="dxa" w:w="80"/>
              <w:right w:type="dxa" w:w="100"/>
            </w:tcMar>
            <w:vAlign w:val="center"/>
          </w:tcPr>
          <w:p>
            <w:r>
              <w:rPr>
                <w:b w:val="false"/>
                <w:bCs w:val="false"/>
                <w:color w:val="000000"/>
                <w:sz w:val="19"/>
                <w:szCs w:val="19"/>
              </w:rPr>
              <w:t xml:space="preserve">1M polygons</w:t>
            </w:r>
          </w:p>
        </w:tc>
        <w:tc>
          <w:tcPr>
            <w:tcW w:type="dxa" w:w="3800"/>
            <w:shd w:fill="EAF0EE" w:val="clear"/>
            <w:tcMar>
              <w:top w:type="dxa" w:w="80"/>
              <w:left w:type="dxa" w:w="100"/>
              <w:bottom w:type="dxa" w:w="80"/>
              <w:right w:type="dxa" w:w="100"/>
            </w:tcMar>
            <w:vAlign w:val="center"/>
          </w:tcPr>
          <w:p>
            <w:r>
              <w:rPr>
                <w:b w:val="false"/>
                <w:bCs w:val="false"/>
                <w:color w:val="000000"/>
                <w:sz w:val="19"/>
                <w:szCs w:val="19"/>
              </w:rPr>
              <w:t xml:space="preserve">Object storage growth + database scaling (read replicas)</w:t>
            </w:r>
          </w:p>
        </w:tc>
        <w:tc>
          <w:tcPr>
            <w:tcW w:type="dxa" w:w="4000"/>
            <w:shd w:fill="EAF0EE" w:val="clear"/>
            <w:tcMar>
              <w:top w:type="dxa" w:w="80"/>
              <w:left w:type="dxa" w:w="100"/>
              <w:bottom w:type="dxa" w:w="80"/>
              <w:right w:type="dxa" w:w="100"/>
            </w:tcMar>
            <w:vAlign w:val="center"/>
          </w:tcPr>
          <w:p>
            <w:r>
              <w:rPr>
                <w:b w:val="false"/>
                <w:bCs w:val="false"/>
                <w:color w:val="000000"/>
                <w:sz w:val="19"/>
                <w:szCs w:val="19"/>
              </w:rPr>
              <w:t xml:space="preserve">Medium — storage becomes a real line item; dedicated DB resourcing required</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10M polygons</w:t>
            </w:r>
          </w:p>
        </w:tc>
        <w:tc>
          <w:tcPr>
            <w:tcW w:type="dxa" w:w="3800"/>
            <w:tcMar>
              <w:top w:type="dxa" w:w="80"/>
              <w:left w:type="dxa" w:w="100"/>
              <w:bottom w:type="dxa" w:w="80"/>
              <w:right w:type="dxa" w:w="100"/>
            </w:tcMar>
            <w:vAlign w:val="center"/>
          </w:tcPr>
          <w:p>
            <w:r>
              <w:rPr>
                <w:b w:val="false"/>
                <w:bCs w:val="false"/>
                <w:color w:val="000000"/>
                <w:sz w:val="19"/>
                <w:szCs w:val="19"/>
              </w:rPr>
              <w:t xml:space="preserve">Archive storage size + zonal_stats infrastructure + CDN at public-map scale</w:t>
            </w:r>
          </w:p>
        </w:tc>
        <w:tc>
          <w:tcPr>
            <w:tcW w:type="dxa" w:w="4000"/>
            <w:tcMar>
              <w:top w:type="dxa" w:w="80"/>
              <w:left w:type="dxa" w:w="100"/>
              <w:bottom w:type="dxa" w:w="80"/>
              <w:right w:type="dxa" w:w="100"/>
            </w:tcMar>
            <w:vAlign w:val="center"/>
          </w:tcPr>
          <w:p>
            <w:r>
              <w:rPr>
                <w:b w:val="false"/>
                <w:bCs w:val="false"/>
                <w:color w:val="000000"/>
                <w:sz w:val="19"/>
                <w:szCs w:val="19"/>
              </w:rPr>
              <w:t xml:space="preserve">High — comparable to a mid-size SaaS data platform's infra spend; obtain vendor quotes rather than estimating</w:t>
            </w:r>
          </w:p>
        </w:tc>
      </w:tr>
    </w:tbl>
    <w:p>
      <w:pPr>
        <w:spacing w:after="160" w:line="276"/>
        <w:jc w:val="both"/>
      </w:pPr>
      <w:r>
        <w:rPr>
          <w:sz w:val="22"/>
          <w:szCs w:val="22"/>
        </w:rPr>
        <w:t xml:space="preserve">Rather than fixed dollar figures, which age quickly, a cost model should be maintained as a living spreadsheet driven by: tiles processed per month x compute-minutes per tile, GB stored x storage-tier price, GB served x CDN/egress price, and GPU-hours x GPU price — re-run quarterly against current pricing, aligned with the project's stated preference for systemd-based deployment over heavier orchestration overhead where it is not needed.</w:t>
      </w:r>
    </w:p>
    <w:p>
      <w:pPr>
        <w:pStyle w:val="Heading1"/>
        <w:pageBreakBefore/>
        <w:spacing w:after="200" w:before="400"/>
      </w:pPr>
      <w:r>
        <w:t xml:space="preserve">18. Vyom Engine Across Verticals</w:t>
      </w:r>
    </w:p>
    <w:p>
      <w:pPr>
        <w:spacing w:after="160" w:line="276"/>
        <w:jc w:val="both"/>
      </w:pPr>
      <w:r>
        <w:rPr>
          <w:sz w:val="22"/>
          <w:szCs w:val="22"/>
        </w:rPr>
        <w:t xml:space="preserve">The architecture is vertical-agnostic by design: every vertical is a combination of derived products, polygon/geometry type, and alerting rules layered on the same core engine.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A5F" w:val="clear"/>
            <w:tcMar>
              <w:top w:type="dxa" w:w="80"/>
              <w:left w:type="dxa" w:w="100"/>
              <w:bottom w:type="dxa" w:w="80"/>
              <w:right w:type="dxa" w:w="100"/>
            </w:tcMar>
            <w:vAlign w:val="center"/>
          </w:tcPr>
          <w:p>
            <w:r>
              <w:rPr>
                <w:b/>
                <w:bCs/>
                <w:color w:val="FFFFFF"/>
                <w:sz w:val="19"/>
                <w:szCs w:val="19"/>
              </w:rPr>
              <w:t xml:space="preserve">Vertical</w:t>
            </w:r>
          </w:p>
        </w:tc>
        <w:tc>
          <w:tcPr>
            <w:tcW w:type="dxa" w:w="7200"/>
            <w:shd w:fill="1F3A5F" w:val="clear"/>
            <w:tcMar>
              <w:top w:type="dxa" w:w="80"/>
              <w:left w:type="dxa" w:w="100"/>
              <w:bottom w:type="dxa" w:w="80"/>
              <w:right w:type="dxa" w:w="100"/>
            </w:tcMar>
            <w:vAlign w:val="center"/>
          </w:tcPr>
          <w:p>
            <w:r>
              <w:rPr>
                <w:b/>
                <w:bCs/>
                <w:color w:val="FFFFFF"/>
                <w:sz w:val="19"/>
                <w:szCs w:val="19"/>
              </w:rPr>
              <w:t xml:space="preserve">Primary Data Products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Agriculture</w:t>
            </w:r>
          </w:p>
        </w:tc>
        <w:tc>
          <w:tcPr>
            <w:tcW w:type="dxa" w:w="7200"/>
            <w:tcMar>
              <w:top w:type="dxa" w:w="80"/>
              <w:left w:type="dxa" w:w="100"/>
              <w:bottom w:type="dxa" w:w="80"/>
              <w:right w:type="dxa" w:w="100"/>
            </w:tcMar>
            <w:vAlign w:val="center"/>
          </w:tcPr>
          <w:p>
            <w:r>
              <w:rPr>
                <w:b w:val="false"/>
                <w:bCs w:val="false"/>
                <w:color w:val="000000"/>
                <w:sz w:val="19"/>
                <w:szCs w:val="19"/>
              </w:rPr>
              <w:t xml:space="preserve">NDVI/soil-moisture time series, crop health scoring, yield estimation (farm-plot polygons)</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Forestry</w:t>
            </w:r>
          </w:p>
        </w:tc>
        <w:tc>
          <w:tcPr>
            <w:tcW w:type="dxa" w:w="7200"/>
            <w:shd w:fill="EAF0EE" w:val="clear"/>
            <w:tcMar>
              <w:top w:type="dxa" w:w="80"/>
              <w:left w:type="dxa" w:w="100"/>
              <w:bottom w:type="dxa" w:w="80"/>
              <w:right w:type="dxa" w:w="100"/>
            </w:tcMar>
            <w:vAlign w:val="center"/>
          </w:tcPr>
          <w:p>
            <w:r>
              <w:rPr>
                <w:b w:val="false"/>
                <w:bCs w:val="false"/>
                <w:color w:val="000000"/>
                <w:sz w:val="19"/>
                <w:szCs w:val="19"/>
              </w:rPr>
              <w:t xml:space="preserve">NDVI/NDFI change detection, canopy-loss alerting (forest management units)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Mining</w:t>
            </w:r>
          </w:p>
        </w:tc>
        <w:tc>
          <w:tcPr>
            <w:tcW w:type="dxa" w:w="7200"/>
            <w:tcMar>
              <w:top w:type="dxa" w:w="80"/>
              <w:left w:type="dxa" w:w="100"/>
              <w:bottom w:type="dxa" w:w="80"/>
              <w:right w:type="dxa" w:w="100"/>
            </w:tcMar>
            <w:vAlign w:val="center"/>
          </w:tcPr>
          <w:p>
            <w:r>
              <w:rPr>
                <w:b w:val="false"/>
                <w:bCs w:val="false"/>
                <w:color w:val="000000"/>
                <w:sz w:val="19"/>
                <w:szCs w:val="19"/>
              </w:rPr>
              <w:t xml:space="preserve">Excavation-boundary change detection, lease compliance monitoring</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Smart Cities</w:t>
            </w:r>
          </w:p>
        </w:tc>
        <w:tc>
          <w:tcPr>
            <w:tcW w:type="dxa" w:w="7200"/>
            <w:shd w:fill="EAF0EE" w:val="clear"/>
            <w:tcMar>
              <w:top w:type="dxa" w:w="80"/>
              <w:left w:type="dxa" w:w="100"/>
              <w:bottom w:type="dxa" w:w="80"/>
              <w:right w:type="dxa" w:w="100"/>
            </w:tcMar>
            <w:vAlign w:val="center"/>
          </w:tcPr>
          <w:p>
            <w:r>
              <w:rPr>
                <w:b w:val="false"/>
                <w:bCs w:val="false"/>
                <w:color w:val="000000"/>
                <w:sz w:val="19"/>
                <w:szCs w:val="19"/>
              </w:rPr>
              <w:t xml:space="preserve">Land-use classification, urban heat island, impervious-surface change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Disaster Management</w:t>
            </w:r>
          </w:p>
        </w:tc>
        <w:tc>
          <w:tcPr>
            <w:tcW w:type="dxa" w:w="7200"/>
            <w:tcMar>
              <w:top w:type="dxa" w:w="80"/>
              <w:left w:type="dxa" w:w="100"/>
              <w:bottom w:type="dxa" w:w="80"/>
              <w:right w:type="dxa" w:w="100"/>
            </w:tcMar>
            <w:vAlign w:val="center"/>
          </w:tcPr>
          <w:p>
            <w:r>
              <w:rPr>
                <w:b w:val="false"/>
                <w:bCs w:val="false"/>
                <w:color w:val="000000"/>
                <w:sz w:val="19"/>
                <w:szCs w:val="19"/>
              </w:rPr>
              <w:t xml:space="preserve">S1 SAR flood extent, S3 thermal fire detection, near-real-time ingestion</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Insurance</w:t>
            </w:r>
          </w:p>
        </w:tc>
        <w:tc>
          <w:tcPr>
            <w:tcW w:type="dxa" w:w="7200"/>
            <w:shd w:fill="EAF0EE" w:val="clear"/>
            <w:tcMar>
              <w:top w:type="dxa" w:w="80"/>
              <w:left w:type="dxa" w:w="100"/>
              <w:bottom w:type="dxa" w:w="80"/>
              <w:right w:type="dxa" w:w="100"/>
            </w:tcMar>
            <w:vAlign w:val="center"/>
          </w:tcPr>
          <w:p>
            <w:r>
              <w:rPr>
                <w:b w:val="false"/>
                <w:bCs w:val="false"/>
                <w:color w:val="000000"/>
                <w:sz w:val="19"/>
                <w:szCs w:val="19"/>
              </w:rPr>
              <w:t xml:space="preserve">Historical NDVI/flood/drought time series for parametric-insurance triggers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Banking</w:t>
            </w:r>
          </w:p>
        </w:tc>
        <w:tc>
          <w:tcPr>
            <w:tcW w:type="dxa" w:w="7200"/>
            <w:tcMar>
              <w:top w:type="dxa" w:w="80"/>
              <w:left w:type="dxa" w:w="100"/>
              <w:bottom w:type="dxa" w:w="80"/>
              <w:right w:type="dxa" w:w="100"/>
            </w:tcMar>
            <w:vAlign w:val="center"/>
          </w:tcPr>
          <w:p>
            <w:r>
              <w:rPr>
                <w:b w:val="false"/>
                <w:bCs w:val="false"/>
                <w:color w:val="000000"/>
                <w:sz w:val="19"/>
                <w:szCs w:val="19"/>
              </w:rPr>
              <w:t xml:space="preserve">Crop-health-linked loan risk scoring, batch export APIs</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Climate / Carbon</w:t>
            </w:r>
          </w:p>
        </w:tc>
        <w:tc>
          <w:tcPr>
            <w:tcW w:type="dxa" w:w="7200"/>
            <w:shd w:fill="EAF0EE" w:val="clear"/>
            <w:tcMar>
              <w:top w:type="dxa" w:w="80"/>
              <w:left w:type="dxa" w:w="100"/>
              <w:bottom w:type="dxa" w:w="80"/>
              <w:right w:type="dxa" w:w="100"/>
            </w:tcMar>
            <w:vAlign w:val="center"/>
          </w:tcPr>
          <w:p>
            <w:r>
              <w:rPr>
                <w:b w:val="false"/>
                <w:bCs w:val="false"/>
                <w:color w:val="000000"/>
                <w:sz w:val="19"/>
                <w:szCs w:val="19"/>
              </w:rPr>
              <w:t xml:space="preserve">S5P + biomass/carbon-proxy time series aggregated to admin boundaries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Construction</w:t>
            </w:r>
          </w:p>
        </w:tc>
        <w:tc>
          <w:tcPr>
            <w:tcW w:type="dxa" w:w="7200"/>
            <w:tcMar>
              <w:top w:type="dxa" w:w="80"/>
              <w:left w:type="dxa" w:w="100"/>
              <w:bottom w:type="dxa" w:w="80"/>
              <w:right w:type="dxa" w:w="100"/>
            </w:tcMar>
            <w:vAlign w:val="center"/>
          </w:tcPr>
          <w:p>
            <w:r>
              <w:rPr>
                <w:b w:val="false"/>
                <w:bCs w:val="false"/>
                <w:color w:val="000000"/>
                <w:sz w:val="19"/>
                <w:szCs w:val="19"/>
              </w:rPr>
              <w:t xml:space="preserve">Site-boundary change detection for progress monitoring</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Telecom / Utilities</w:t>
            </w:r>
          </w:p>
        </w:tc>
        <w:tc>
          <w:tcPr>
            <w:tcW w:type="dxa" w:w="7200"/>
            <w:shd w:fill="EAF0EE" w:val="clear"/>
            <w:tcMar>
              <w:top w:type="dxa" w:w="80"/>
              <w:left w:type="dxa" w:w="100"/>
              <w:bottom w:type="dxa" w:w="80"/>
              <w:right w:type="dxa" w:w="100"/>
            </w:tcMar>
            <w:vAlign w:val="center"/>
          </w:tcPr>
          <w:p>
            <w:r>
              <w:rPr>
                <w:b w:val="false"/>
                <w:bCs w:val="false"/>
                <w:color w:val="000000"/>
                <w:sz w:val="19"/>
                <w:szCs w:val="19"/>
              </w:rPr>
              <w:t xml:space="preserve">Vegetation-encroachment monitoring on corridor/line geometries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Logistics</w:t>
            </w:r>
          </w:p>
        </w:tc>
        <w:tc>
          <w:tcPr>
            <w:tcW w:type="dxa" w:w="7200"/>
            <w:tcMar>
              <w:top w:type="dxa" w:w="80"/>
              <w:left w:type="dxa" w:w="100"/>
              <w:bottom w:type="dxa" w:w="80"/>
              <w:right w:type="dxa" w:w="100"/>
            </w:tcMar>
            <w:vAlign w:val="center"/>
          </w:tcPr>
          <w:p>
            <w:r>
              <w:rPr>
                <w:b w:val="false"/>
                <w:bCs w:val="false"/>
                <w:color w:val="000000"/>
                <w:sz w:val="19"/>
                <w:szCs w:val="19"/>
              </w:rPr>
              <w:t xml:space="preserve">Route/corridor monitoring using the same geometry-generalization pattern</w:t>
            </w:r>
          </w:p>
        </w:tc>
      </w:tr>
      <w:tr>
        <w:tc>
          <w:tcPr>
            <w:tcW w:type="dxa" w:w="2400"/>
            <w:shd w:fill="EAF0EE" w:val="clear"/>
            <w:tcMar>
              <w:top w:type="dxa" w:w="80"/>
              <w:left w:type="dxa" w:w="100"/>
              <w:bottom w:type="dxa" w:w="80"/>
              <w:right w:type="dxa" w:w="100"/>
            </w:tcMar>
            <w:vAlign w:val="center"/>
          </w:tcPr>
          <w:p>
            <w:r>
              <w:rPr>
                <w:b w:val="false"/>
                <w:bCs w:val="false"/>
                <w:color w:val="000000"/>
                <w:sz w:val="19"/>
                <w:szCs w:val="19"/>
              </w:rPr>
              <w:t xml:space="preserve">Water Resources</w:t>
            </w:r>
          </w:p>
        </w:tc>
        <w:tc>
          <w:tcPr>
            <w:tcW w:type="dxa" w:w="7200"/>
            <w:shd w:fill="EAF0EE" w:val="clear"/>
            <w:tcMar>
              <w:top w:type="dxa" w:w="80"/>
              <w:left w:type="dxa" w:w="100"/>
              <w:bottom w:type="dxa" w:w="80"/>
              <w:right w:type="dxa" w:w="100"/>
            </w:tcMar>
            <w:vAlign w:val="center"/>
          </w:tcPr>
          <w:p>
            <w:r>
              <w:rPr>
                <w:b w:val="false"/>
                <w:bCs w:val="false"/>
                <w:color w:val="000000"/>
                <w:sz w:val="19"/>
                <w:szCs w:val="19"/>
              </w:rPr>
              <w:t xml:space="preserve">NDWI/MNDWI time series on waterbody polygons, reservoir-level proxying</w:t>
            </w:r>
          </w:p>
        </w:tc>
      </w:tr>
    </w:tbl>
    <w:p>
      <w:pPr>
        <w:spacing w:after="160" w:line="276"/>
        <w:jc w:val="both"/>
      </w:pPr>
      <w:r>
        <w:rPr>
          <w:sz w:val="22"/>
          <w:szCs w:val="22"/>
        </w:rPr>
        <w:t xml:space="preserve">The zonal_stats.metric field is designed as an open, extensible string namespace precisely so new verticals are additive to the platform rather than architecturally disruptive.</w:t>
      </w:r>
    </w:p>
    <w:p>
      <w:pPr>
        <w:pStyle w:val="Heading1"/>
        <w:pageBreakBefore/>
        <w:spacing w:after="200" w:before="400"/>
      </w:pPr>
      <w:r>
        <w:t xml:space="preserve">19. Phased Development Roadmap</w:t>
      </w:r>
    </w:p>
    <w:p>
      <w:pPr>
        <w:pStyle w:val="Heading2"/>
        <w:spacing w:after="150" w:before="300"/>
      </w:pPr>
      <w:r>
        <w:t xml:space="preserve">19.1 Phase 1 — MVP (Months 0-4)</w:t>
      </w:r>
    </w:p>
    <w:p>
      <w:pPr>
        <w:pStyle w:val="Heading3"/>
        <w:spacing w:after="100" w:before="200"/>
      </w:pPr>
      <w:r>
        <w:t xml:space="preserve">Features</w:t>
      </w:r>
    </w:p>
    <w:p>
      <w:pPr>
        <w:spacing w:after="160" w:line="276"/>
        <w:jc w:val="both"/>
      </w:pPr>
      <w:r>
        <w:rPr>
          <w:sz w:val="22"/>
          <w:szCs w:val="22"/>
        </w:rPr>
        <w:t xml:space="preserve">Sentinel-2 only, India AOI, NDVI/NDWI and basic zonal statistics, TiTiler-based tile serving, polygon CRUD, simple time-series API — reusing existing AgriDoot ingestion knowledge directly.</w:t>
      </w:r>
    </w:p>
    <w:p>
      <w:pPr>
        <w:pStyle w:val="Heading3"/>
        <w:spacing w:after="100" w:before="200"/>
      </w:pPr>
      <w:r>
        <w:t xml:space="preserve">Architecture</w:t>
      </w:r>
    </w:p>
    <w:p>
      <w:pPr>
        <w:spacing w:after="160" w:line="276"/>
        <w:jc w:val="both"/>
      </w:pPr>
      <w:r>
        <w:rPr>
          <w:sz w:val="22"/>
          <w:szCs w:val="22"/>
        </w:rPr>
        <w:t xml:space="preserve">Monolith-leaning: discovery, download, processing, and statistics can live in a single deployable Celery + FastAPI app initially, split into microservices only once a specific component needs independent scaling.</w:t>
      </w:r>
    </w:p>
    <w:p>
      <w:pPr>
        <w:pStyle w:val="Heading3"/>
        <w:spacing w:after="100" w:before="200"/>
      </w:pPr>
      <w:r>
        <w:t xml:space="preserve">Team</w:t>
      </w:r>
    </w:p>
    <w:p>
      <w:pPr>
        <w:spacing w:after="160" w:line="276"/>
        <w:jc w:val="both"/>
      </w:pPr>
      <w:r>
        <w:rPr>
          <w:sz w:val="22"/>
          <w:szCs w:val="22"/>
        </w:rPr>
        <w:t xml:space="preserve">2-3 backend/geospatial engineers, part-time DevOps.</w:t>
      </w:r>
    </w:p>
    <w:p>
      <w:pPr>
        <w:pStyle w:val="Heading3"/>
        <w:spacing w:after="100" w:before="200"/>
      </w:pPr>
      <w:r>
        <w:t xml:space="preserve">Infrastructure</w:t>
      </w:r>
    </w:p>
    <w:p>
      <w:pPr>
        <w:spacing w:after="160" w:line="276"/>
        <w:jc w:val="both"/>
      </w:pPr>
      <w:r>
        <w:rPr>
          <w:sz w:val="22"/>
          <w:szCs w:val="22"/>
        </w:rPr>
        <w:t xml:space="preserve">Single server or small VM cluster, self-hosted MinIO, managed/self-hosted Postgres, systemd-managed services — Kubernetes is premature at this stage.</w:t>
      </w:r>
    </w:p>
    <w:p>
      <w:pPr>
        <w:pStyle w:val="Heading3"/>
        <w:spacing w:after="100" w:before="200"/>
      </w:pPr>
      <w:r>
        <w:t xml:space="preserve">Risks</w:t>
      </w:r>
    </w:p>
    <w:p>
      <w:pPr>
        <w:spacing w:after="160" w:line="276"/>
        <w:jc w:val="both"/>
      </w:pPr>
      <w:r>
        <w:rPr>
          <w:sz w:val="22"/>
          <w:szCs w:val="22"/>
        </w:rPr>
        <w:t xml:space="preserve">Underestimating Copernicus account/PU limits; cloud-masking quality issues affecting NDVI accuracy.</w:t>
      </w:r>
    </w:p>
    <w:p>
      <w:pPr>
        <w:pStyle w:val="Heading3"/>
        <w:spacing w:after="100" w:before="200"/>
      </w:pPr>
      <w:r>
        <w:t xml:space="preserve">Scalability Target</w:t>
      </w:r>
    </w:p>
    <w:p>
      <w:pPr>
        <w:spacing w:after="160" w:line="276"/>
        <w:jc w:val="both"/>
      </w:pPr>
      <w:r>
        <w:rPr>
          <w:sz w:val="22"/>
          <w:szCs w:val="22"/>
        </w:rPr>
        <w:t xml:space="preserve">10K-50K polygons, single country.</w:t>
      </w:r>
    </w:p>
    <w:p>
      <w:pPr>
        <w:pStyle w:val="Heading2"/>
        <w:spacing w:after="150" w:before="300"/>
      </w:pPr>
      <w:r>
        <w:t xml:space="preserve">19.2 Phase 2 — Multi-Sensor &amp; Productization (Months 4-9)</w:t>
      </w:r>
    </w:p>
    <w:p>
      <w:pPr>
        <w:pStyle w:val="Heading3"/>
        <w:spacing w:after="100" w:before="200"/>
      </w:pPr>
      <w:r>
        <w:t xml:space="preserve">Features</w:t>
      </w:r>
    </w:p>
    <w:p>
      <w:pPr>
        <w:spacing w:after="160" w:line="276"/>
        <w:jc w:val="both"/>
      </w:pPr>
      <w:r>
        <w:rPr>
          <w:sz w:val="22"/>
          <w:szCs w:val="22"/>
        </w:rPr>
        <w:t xml:space="preserve">Sentinel-1 (flood/all-weather) and DEM ingestion, change detection, export service, basic multi-tenancy, Razorpay billing, public API with rate limiting.</w:t>
      </w:r>
    </w:p>
    <w:p>
      <w:pPr>
        <w:pStyle w:val="Heading3"/>
        <w:spacing w:after="100" w:before="200"/>
      </w:pPr>
      <w:r>
        <w:t xml:space="preserve">Architecture</w:t>
      </w:r>
    </w:p>
    <w:p>
      <w:pPr>
        <w:spacing w:after="160" w:line="276"/>
        <w:jc w:val="both"/>
      </w:pPr>
      <w:r>
        <w:rPr>
          <w:sz w:val="22"/>
          <w:szCs w:val="22"/>
        </w:rPr>
        <w:t xml:space="preserve">Split into real microservices; proper Redis caching layer; move to Kubernetes if operational maturity supports it, otherwise a well-orchestrated systemd + Docker Compose fleet.</w:t>
      </w:r>
    </w:p>
    <w:p>
      <w:pPr>
        <w:pStyle w:val="Heading3"/>
        <w:spacing w:after="100" w:before="200"/>
      </w:pPr>
      <w:r>
        <w:t xml:space="preserve">Team</w:t>
      </w:r>
    </w:p>
    <w:p>
      <w:pPr>
        <w:spacing w:after="160" w:line="276"/>
        <w:jc w:val="both"/>
      </w:pPr>
      <w:r>
        <w:rPr>
          <w:sz w:val="22"/>
          <w:szCs w:val="22"/>
        </w:rPr>
        <w:t xml:space="preserve">5-8, adding a dedicated DevOps/infra person, additional geospatial/backend engineers, and a first ML engineer.</w:t>
      </w:r>
    </w:p>
    <w:p>
      <w:pPr>
        <w:pStyle w:val="Heading3"/>
        <w:spacing w:after="100" w:before="200"/>
      </w:pPr>
      <w:r>
        <w:t xml:space="preserve">Infrastructure</w:t>
      </w:r>
    </w:p>
    <w:p>
      <w:pPr>
        <w:spacing w:after="160" w:line="276"/>
        <w:jc w:val="both"/>
      </w:pPr>
      <w:r>
        <w:rPr>
          <w:sz w:val="22"/>
          <w:szCs w:val="22"/>
        </w:rPr>
        <w:t xml:space="preserve">Multi-node MinIO cluster, PostGIS with a read replica, dedicated worker pool.</w:t>
      </w:r>
    </w:p>
    <w:p>
      <w:pPr>
        <w:pStyle w:val="Heading3"/>
        <w:spacing w:after="100" w:before="200"/>
      </w:pPr>
      <w:r>
        <w:t xml:space="preserve">Risks</w:t>
      </w:r>
    </w:p>
    <w:p>
      <w:pPr>
        <w:spacing w:after="160" w:line="276"/>
        <w:jc w:val="both"/>
      </w:pPr>
      <w:r>
        <w:rPr>
          <w:sz w:val="22"/>
          <w:szCs w:val="22"/>
        </w:rPr>
        <w:t xml:space="preserve">Multi-tenant isolation bugs; scaling zonal_stats write throughput.</w:t>
      </w:r>
    </w:p>
    <w:p>
      <w:pPr>
        <w:pStyle w:val="Heading3"/>
        <w:spacing w:after="100" w:before="200"/>
      </w:pPr>
      <w:r>
        <w:t xml:space="preserve">Scalability Target</w:t>
      </w:r>
    </w:p>
    <w:p>
      <w:pPr>
        <w:spacing w:after="160" w:line="276"/>
        <w:jc w:val="both"/>
      </w:pPr>
      <w:r>
        <w:rPr>
          <w:sz w:val="22"/>
          <w:szCs w:val="22"/>
        </w:rPr>
        <w:t xml:space="preserve">100K-250K polygons.</w:t>
      </w:r>
    </w:p>
    <w:p>
      <w:pPr>
        <w:pStyle w:val="Heading2"/>
        <w:spacing w:after="150" w:before="300"/>
      </w:pPr>
      <w:r>
        <w:t xml:space="preserve">19.3 Phase 3 — AI/ML &amp; Enterprise Verticals (Months 9-18)</w:t>
      </w:r>
    </w:p>
    <w:p>
      <w:pPr>
        <w:pStyle w:val="Heading3"/>
        <w:spacing w:after="100" w:before="200"/>
      </w:pPr>
      <w:r>
        <w:t xml:space="preserve">Features</w:t>
      </w:r>
    </w:p>
    <w:p>
      <w:pPr>
        <w:spacing w:after="160" w:line="276"/>
        <w:jc w:val="both"/>
      </w:pPr>
      <w:r>
        <w:rPr>
          <w:sz w:val="22"/>
          <w:szCs w:val="22"/>
        </w:rPr>
        <w:t xml:space="preserve">Land cover classification, flood/fire detection models, first non-agriculture vertical (disaster management or forestry), enterprise SSO, SLA tiers.</w:t>
      </w:r>
    </w:p>
    <w:p>
      <w:pPr>
        <w:pStyle w:val="Heading3"/>
        <w:spacing w:after="100" w:before="200"/>
      </w:pPr>
      <w:r>
        <w:t xml:space="preserve">Architecture</w:t>
      </w:r>
    </w:p>
    <w:p>
      <w:pPr>
        <w:spacing w:after="160" w:line="276"/>
        <w:jc w:val="both"/>
      </w:pPr>
      <w:r>
        <w:rPr>
          <w:sz w:val="22"/>
          <w:szCs w:val="22"/>
        </w:rPr>
        <w:t xml:space="preserve">Full microservices on Kubernetes; GPU node pool for inference; TimescaleDB/ClickHouse migration planning for zonal_stats; S3/S5P pipeline branches added.</w:t>
      </w:r>
    </w:p>
    <w:p>
      <w:pPr>
        <w:pStyle w:val="Heading3"/>
        <w:spacing w:after="100" w:before="200"/>
      </w:pPr>
      <w:r>
        <w:t xml:space="preserve">Team</w:t>
      </w:r>
    </w:p>
    <w:p>
      <w:pPr>
        <w:spacing w:after="160" w:line="276"/>
        <w:jc w:val="both"/>
      </w:pPr>
      <w:r>
        <w:rPr>
          <w:sz w:val="22"/>
          <w:szCs w:val="22"/>
        </w:rPr>
        <w:t xml:space="preserve">12-18, including a dedicated ML team, SRE function, and vertical-specific product engineers.</w:t>
      </w:r>
    </w:p>
    <w:p>
      <w:pPr>
        <w:pStyle w:val="Heading3"/>
        <w:spacing w:after="100" w:before="200"/>
      </w:pPr>
      <w:r>
        <w:t xml:space="preserve">Infrastructure</w:t>
      </w:r>
    </w:p>
    <w:p>
      <w:pPr>
        <w:spacing w:after="160" w:line="276"/>
        <w:jc w:val="both"/>
      </w:pPr>
      <w:r>
        <w:rPr>
          <w:sz w:val="22"/>
          <w:szCs w:val="22"/>
        </w:rPr>
        <w:t xml:space="preserve">Multi-region DR planning begins; GPU infrastructure comes online.</w:t>
      </w:r>
    </w:p>
    <w:p>
      <w:pPr>
        <w:pStyle w:val="Heading3"/>
        <w:spacing w:after="100" w:before="200"/>
      </w:pPr>
      <w:r>
        <w:t xml:space="preserve">Risks</w:t>
      </w:r>
    </w:p>
    <w:p>
      <w:pPr>
        <w:spacing w:after="160" w:line="276"/>
        <w:jc w:val="both"/>
      </w:pPr>
      <w:r>
        <w:rPr>
          <w:sz w:val="22"/>
          <w:szCs w:val="22"/>
        </w:rPr>
        <w:t xml:space="preserve">ML reliability under enterprise scrutiny; infrastructure cost growth outpacing revenue without tight usage-based billing.</w:t>
      </w:r>
    </w:p>
    <w:p>
      <w:pPr>
        <w:pStyle w:val="Heading3"/>
        <w:spacing w:after="100" w:before="200"/>
      </w:pPr>
      <w:r>
        <w:t xml:space="preserve">Scalability Target</w:t>
      </w:r>
    </w:p>
    <w:p>
      <w:pPr>
        <w:spacing w:after="160" w:line="276"/>
        <w:jc w:val="both"/>
      </w:pPr>
      <w:r>
        <w:rPr>
          <w:sz w:val="22"/>
          <w:szCs w:val="22"/>
        </w:rPr>
        <w:t xml:space="preserve">1M+ polygons.</w:t>
      </w:r>
    </w:p>
    <w:p>
      <w:pPr>
        <w:pStyle w:val="Heading2"/>
        <w:spacing w:after="150" w:before="300"/>
      </w:pPr>
      <w:r>
        <w:t xml:space="preserve">19.4 Phase 4 — Platform Maturity &amp; Scale (Months 18-30)</w:t>
      </w:r>
    </w:p>
    <w:p>
      <w:pPr>
        <w:pStyle w:val="Heading3"/>
        <w:spacing w:after="100" w:before="200"/>
      </w:pPr>
      <w:r>
        <w:t xml:space="preserve">Features</w:t>
      </w:r>
    </w:p>
    <w:p>
      <w:pPr>
        <w:spacing w:after="160" w:line="276"/>
        <w:jc w:val="both"/>
      </w:pPr>
      <w:r>
        <w:rPr>
          <w:sz w:val="22"/>
          <w:szCs w:val="22"/>
        </w:rPr>
        <w:t xml:space="preserve">Full vertical suite including insurance/banking-grade audit trails and utilities/telecom corridor monitoring; advanced query capabilities; CDN-backed public tile serving at scale.</w:t>
      </w:r>
    </w:p>
    <w:p>
      <w:pPr>
        <w:pStyle w:val="Heading3"/>
        <w:spacing w:after="100" w:before="200"/>
      </w:pPr>
      <w:r>
        <w:t xml:space="preserve">Architecture</w:t>
      </w:r>
    </w:p>
    <w:p>
      <w:pPr>
        <w:spacing w:after="160" w:line="276"/>
        <w:jc w:val="both"/>
      </w:pPr>
      <w:r>
        <w:rPr>
          <w:sz w:val="22"/>
          <w:szCs w:val="22"/>
        </w:rPr>
        <w:t xml:space="preserve">zonal_stats fully migrated to TimescaleDB/ClickHouse; multi-region active-active serving; formal SLAs tested via regular game-days.</w:t>
      </w:r>
    </w:p>
    <w:p>
      <w:pPr>
        <w:pStyle w:val="Heading3"/>
        <w:spacing w:after="100" w:before="200"/>
      </w:pPr>
      <w:r>
        <w:t xml:space="preserve">Team</w:t>
      </w:r>
    </w:p>
    <w:p>
      <w:pPr>
        <w:spacing w:after="160" w:line="276"/>
        <w:jc w:val="both"/>
      </w:pPr>
      <w:r>
        <w:rPr>
          <w:sz w:val="22"/>
          <w:szCs w:val="22"/>
        </w:rPr>
        <w:t xml:space="preserve">25-40+, organized around verticals with a shared platform team maintaining the core engine.</w:t>
      </w:r>
    </w:p>
    <w:p>
      <w:pPr>
        <w:pStyle w:val="Heading3"/>
        <w:spacing w:after="100" w:before="200"/>
      </w:pPr>
      <w:r>
        <w:t xml:space="preserve">Infrastructure</w:t>
      </w:r>
    </w:p>
    <w:p>
      <w:pPr>
        <w:spacing w:after="160" w:line="276"/>
        <w:jc w:val="both"/>
      </w:pPr>
      <w:r>
        <w:rPr>
          <w:sz w:val="22"/>
          <w:szCs w:val="22"/>
        </w:rPr>
        <w:t xml:space="preserve">Multi-region active-active infrastructure.</w:t>
      </w:r>
    </w:p>
    <w:p>
      <w:pPr>
        <w:pStyle w:val="Heading3"/>
        <w:spacing w:after="100" w:before="200"/>
      </w:pPr>
      <w:r>
        <w:t xml:space="preserve">Risks</w:t>
      </w:r>
    </w:p>
    <w:p>
      <w:pPr>
        <w:spacing w:after="160" w:line="276"/>
        <w:jc w:val="both"/>
      </w:pPr>
      <w:r>
        <w:rPr>
          <w:sz w:val="22"/>
          <w:szCs w:val="22"/>
        </w:rPr>
        <w:t xml:space="preserve">Organizational discipline — preserving the shared-core/thin-vertical-layer principle under customer-specific pressure.</w:t>
      </w:r>
    </w:p>
    <w:p>
      <w:pPr>
        <w:pStyle w:val="Heading3"/>
        <w:spacing w:after="100" w:before="200"/>
      </w:pPr>
      <w:r>
        <w:t xml:space="preserve">Scalability Target</w:t>
      </w:r>
    </w:p>
    <w:p>
      <w:pPr>
        <w:spacing w:after="160" w:line="276"/>
        <w:jc w:val="both"/>
      </w:pPr>
      <w:r>
        <w:rPr>
          <w:sz w:val="22"/>
          <w:szCs w:val="22"/>
        </w:rPr>
        <w:t xml:space="preserve">5-10M polygons.</w:t>
      </w:r>
    </w:p>
    <w:p>
      <w:pPr>
        <w:pStyle w:val="Heading2"/>
        <w:spacing w:after="150" w:before="300"/>
      </w:pPr>
      <w:r>
        <w:t xml:space="preserve">19.5 Phase 5 — Asia Expansion &amp; Platform Ecosystem (Months 30+)</w:t>
      </w:r>
    </w:p>
    <w:p>
      <w:pPr>
        <w:pStyle w:val="Heading3"/>
        <w:spacing w:after="100" w:before="200"/>
      </w:pPr>
      <w:r>
        <w:t xml:space="preserve">Features</w:t>
      </w:r>
    </w:p>
    <w:p>
      <w:pPr>
        <w:spacing w:after="160" w:line="276"/>
        <w:jc w:val="both"/>
      </w:pPr>
      <w:r>
        <w:rPr>
          <w:sz w:val="22"/>
          <w:szCs w:val="22"/>
        </w:rPr>
        <w:t xml:space="preserve">Multi-country AOI expansion beyond India, third-party developer ecosystem/marketplace, commercial VHR imagery integration (Planet/Maxar) for object-detection-grade verticals, formal data-partnership/reseller model.</w:t>
      </w:r>
    </w:p>
    <w:p>
      <w:pPr>
        <w:pStyle w:val="Heading3"/>
        <w:spacing w:after="100" w:before="200"/>
      </w:pPr>
      <w:r>
        <w:t xml:space="preserve">Architecture</w:t>
      </w:r>
    </w:p>
    <w:p>
      <w:pPr>
        <w:spacing w:after="160" w:line="276"/>
        <w:jc w:val="both"/>
      </w:pPr>
      <w:r>
        <w:rPr>
          <w:sz w:val="22"/>
          <w:szCs w:val="22"/>
        </w:rPr>
        <w:t xml:space="preserve">True multi-region, multi-cloud resilience; federated deployments for government clients requiring in-country data residency.</w:t>
      </w:r>
    </w:p>
    <w:p>
      <w:pPr>
        <w:pStyle w:val="Heading3"/>
        <w:spacing w:after="100" w:before="200"/>
      </w:pPr>
      <w:r>
        <w:t xml:space="preserve">Team</w:t>
      </w:r>
    </w:p>
    <w:p>
      <w:pPr>
        <w:spacing w:after="160" w:line="276"/>
        <w:jc w:val="both"/>
      </w:pPr>
      <w:r>
        <w:rPr>
          <w:sz w:val="22"/>
          <w:szCs w:val="22"/>
        </w:rPr>
        <w:t xml:space="preserve">Org-scale — regional teams and dedicated partnerships/BD-facing solutions engineering.</w:t>
      </w:r>
    </w:p>
    <w:p>
      <w:pPr>
        <w:pStyle w:val="Heading3"/>
        <w:spacing w:after="100" w:before="200"/>
      </w:pPr>
      <w:r>
        <w:t xml:space="preserve">Infrastructure</w:t>
      </w:r>
    </w:p>
    <w:p>
      <w:pPr>
        <w:spacing w:after="160" w:line="276"/>
        <w:jc w:val="both"/>
      </w:pPr>
      <w:r>
        <w:rPr>
          <w:sz w:val="22"/>
          <w:szCs w:val="22"/>
        </w:rPr>
        <w:t xml:space="preserve">Federated, multi-country infrastructure.</w:t>
      </w:r>
    </w:p>
    <w:p>
      <w:pPr>
        <w:pStyle w:val="Heading3"/>
        <w:spacing w:after="100" w:before="200"/>
      </w:pPr>
      <w:r>
        <w:t xml:space="preserve">Risks</w:t>
      </w:r>
    </w:p>
    <w:p>
      <w:pPr>
        <w:spacing w:after="160" w:line="276"/>
        <w:jc w:val="both"/>
      </w:pPr>
      <w:r>
        <w:rPr>
          <w:sz w:val="22"/>
          <w:szCs w:val="22"/>
        </w:rPr>
        <w:t xml:space="preserve">Regulatory/data-sovereignty complexity across Asian jurisdictions; competitive response from well-funded incumbents.</w:t>
      </w:r>
    </w:p>
    <w:p>
      <w:pPr>
        <w:pStyle w:val="Heading3"/>
        <w:spacing w:after="100" w:before="200"/>
      </w:pPr>
      <w:r>
        <w:t xml:space="preserve">Scalability Target</w:t>
      </w:r>
    </w:p>
    <w:p>
      <w:pPr>
        <w:spacing w:after="160" w:line="276"/>
        <w:jc w:val="both"/>
      </w:pPr>
      <w:r>
        <w:rPr>
          <w:sz w:val="22"/>
          <w:szCs w:val="22"/>
        </w:rPr>
        <w:t xml:space="preserve">10M+ polygons, multi-country.</w:t>
      </w:r>
    </w:p>
    <w:p>
      <w:pPr>
        <w:pStyle w:val="Heading1"/>
        <w:pageBreakBefore/>
        <w:spacing w:after="200" w:before="400"/>
      </w:pPr>
      <w:r>
        <w:t xml:space="preserve">20. Closing Summary</w:t>
      </w:r>
    </w:p>
    <w:p>
      <w:pPr>
        <w:spacing w:after="160" w:line="276"/>
        <w:jc w:val="both"/>
      </w:pPr>
      <w:r>
        <w:rPr>
          <w:sz w:val="22"/>
          <w:szCs w:val="22"/>
        </w:rPr>
        <w:t xml:space="preserve">The Vyom Engine project builds on a genuine existing advantage: AgriDoot's IoT, satellite GIS, and AI stack means the domain science — vegetation indices, cloud masking, agronomic interpretation — is already proven in production. The primary engineering risk is not integrating the Copernicus API; it is maintaining discipline around the tile-first compute model from day one. Retrofitting that architecture onto a polygon-first MVP later would require a full rewrite rather than a refactor. Every other component of this plan — microservices, Kubernetes, multi-tenancy, machine learning — is well-understood infrastructure work that scales naturally with team size and time. Phase 1 should therefore be built deliberately simple everywhere except this one irreversible architectural decision.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Vyom Engine — Development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6E5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2026-07-10T09:38:29.678Z</dcterms:created>
  <dcterms:modified xsi:type="dcterms:W3CDTF">2026-07-10T09:38:29.689Z</dcterms:modified>
</cp:coreProperties>
</file>

<file path=docProps/custom.xml><?xml version="1.0" encoding="utf-8"?>
<Properties xmlns="http://schemas.openxmlformats.org/officeDocument/2006/custom-properties" xmlns:vt="http://schemas.openxmlformats.org/officeDocument/2006/docPropsVTypes"/>
</file>