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PRE Reservation Apply – Results and Action Plan</w:t>
      </w:r>
    </w:p>
    <w:p>
      <w:pPr/>
      <w:r>
        <w:t xml:space="preserve">Oct 28, 2026</w:t>
      </w:r>
      <w:r>
        <w:t xml:space="preserve"> · </w:t>
      </w:r>
      <w:r>
        <w:t xml:space="preserve">@S</w:t>
      </w:r>
    </w:p>
    <w:p>
      <w:pPr/>
      <w:r>
        <w:t xml:space="preserve">In PRE, 17 of our 39 reservation requests went through and 22 failed because Google did not have spare capacity in those zones at that moment. The good thing is that our running nodes are not affected at all; what we have lost for now is only the guarantee for future scale-ups, upgrades and node repairs.</w:t>
      </w:r>
    </w:p>
    <w:p>
      <w:pPr>
        <w:pStyle w:val="Heading2"/>
      </w:pPr>
      <w:r>
        <w:t xml:space="preserve">At a glance</w:t>
      </w:r>
    </w:p>
    <w:p>
      <w:pPr/>
      <w:r>
        <w:t xml:space="preserve">We applied reservations for two projects (svp01 and svp02), each with one cluster in europe-west2 (EW2) and one in europe-west1 (EW1). Roughly 8,848 vCPU of what we asked for is still not reserved, and most of that gap is in EW2.</w:t>
      </w:r>
    </w:p>
    <w:tbl>
      <w:tblPr>
        <w:tblStyle w:val="TableGrid"/>
        <w:tblW w:w="0" w:type="auto"/>
        <w:tblLayout w:type="fixed"/>
        <w:tblLook w:val="04A0" w:firstRow="1" w:lastRow="0" w:firstColumn="0" w:lastColumn="0" w:noHBand="0" w:noVBand="1"/>
      </w:tblPr>
      <w:tblGrid>
        <w:gridCol w:w="1044"/>
        <w:gridCol w:w="1002"/>
        <w:gridCol w:w="1306"/>
        <w:gridCol w:w="1480"/>
        <w:gridCol w:w="1001"/>
        <w:gridCol w:w="3526"/>
      </w:tblGrid>
      <w:tr>
        <w:trPr>
          <w:tblHeader/>
        </w:trPr>
        <w:tc>
          <w:tcPr>
            <w:tcW w:w="1044" w:type="dxa"/>
            <w:shd w:val="clear" w:color="auto" w:fill="F2F2F2"/>
          </w:tcPr>
          <w:p>
            <w:pPr/>
            <w:r>
              <w:t xml:space="preserve">Region</w:t>
            </w:r>
          </w:p>
        </w:tc>
        <w:tc>
          <w:tcPr>
            <w:tcW w:w="1002" w:type="dxa"/>
            <w:shd w:val="clear" w:color="auto" w:fill="F2F2F2"/>
          </w:tcPr>
          <w:p>
            <w:pPr/>
            <w:r>
              <w:t xml:space="preserve">Zones</w:t>
            </w:r>
          </w:p>
        </w:tc>
        <w:tc>
          <w:tcPr>
            <w:tcW w:w="1306" w:type="dxa"/>
            <w:shd w:val="clear" w:color="auto" w:fill="F2F2F2"/>
          </w:tcPr>
          <w:p>
            <w:pPr/>
            <w:r>
              <w:t xml:space="preserve">Requests</w:t>
            </w:r>
          </w:p>
        </w:tc>
        <w:tc>
          <w:tcPr>
            <w:tcW w:w="1480" w:type="dxa"/>
            <w:shd w:val="clear" w:color="auto" w:fill="F2F2F2"/>
          </w:tcPr>
          <w:p>
            <w:pPr/>
            <w:r>
              <w:t xml:space="preserve">Succeeded</w:t>
            </w:r>
          </w:p>
        </w:tc>
        <w:tc>
          <w:tcPr>
            <w:tcW w:w="1001" w:type="dxa"/>
            <w:shd w:val="clear" w:color="auto" w:fill="F2F2F2"/>
          </w:tcPr>
          <w:p>
            <w:pPr/>
            <w:r>
              <w:t xml:space="preserve">Failed</w:t>
            </w:r>
          </w:p>
        </w:tc>
        <w:tc>
          <w:tcPr>
            <w:tcW w:w="3526" w:type="dxa"/>
            <w:shd w:val="clear" w:color="auto" w:fill="F2F2F2"/>
          </w:tcPr>
          <w:p>
            <w:pPr/>
            <w:r>
              <w:t xml:space="preserve">Not reserved (approx. vCPU)</w:t>
            </w:r>
          </w:p>
        </w:tc>
      </w:tr>
      <w:tr>
        <w:tc>
          <w:tcPr>
            <w:tcW w:w="1044" w:type="dxa"/>
          </w:tcPr>
          <w:p>
            <w:pPr/>
            <w:r>
              <w:t xml:space="preserve">EW2</w:t>
            </w:r>
          </w:p>
        </w:tc>
        <w:tc>
          <w:tcPr>
            <w:tcW w:w="1002" w:type="dxa"/>
          </w:tcPr>
          <w:p>
            <w:pPr/>
            <w:r>
              <w:t xml:space="preserve">a, b, c</w:t>
            </w:r>
          </w:p>
        </w:tc>
        <w:tc>
          <w:tcPr>
            <w:tcW w:w="1306" w:type="dxa"/>
          </w:tcPr>
          <w:p>
            <w:pPr/>
            <w:r>
              <w:t xml:space="preserve">24</w:t>
            </w:r>
          </w:p>
        </w:tc>
        <w:tc>
          <w:tcPr>
            <w:tcW w:w="1480" w:type="dxa"/>
          </w:tcPr>
          <w:p>
            <w:pPr/>
            <w:r>
              <w:t xml:space="preserve">9</w:t>
            </w:r>
          </w:p>
        </w:tc>
        <w:tc>
          <w:tcPr>
            <w:tcW w:w="1001" w:type="dxa"/>
          </w:tcPr>
          <w:p>
            <w:pPr/>
            <w:r>
              <w:t xml:space="preserve">15</w:t>
            </w:r>
          </w:p>
        </w:tc>
        <w:tc>
          <w:tcPr>
            <w:tcW w:w="3526" w:type="dxa"/>
          </w:tcPr>
          <w:p>
            <w:pPr/>
            <w:r>
              <w:t xml:space="preserve">6,752</w:t>
            </w:r>
          </w:p>
        </w:tc>
      </w:tr>
      <w:tr>
        <w:tc>
          <w:tcPr>
            <w:tcW w:w="1044" w:type="dxa"/>
          </w:tcPr>
          <w:p>
            <w:pPr/>
            <w:r>
              <w:t xml:space="preserve">EW1</w:t>
            </w:r>
          </w:p>
        </w:tc>
        <w:tc>
          <w:tcPr>
            <w:tcW w:w="1002" w:type="dxa"/>
          </w:tcPr>
          <w:p>
            <w:pPr/>
            <w:r>
              <w:t xml:space="preserve">b, c, d</w:t>
            </w:r>
          </w:p>
        </w:tc>
        <w:tc>
          <w:tcPr>
            <w:tcW w:w="1306" w:type="dxa"/>
          </w:tcPr>
          <w:p>
            <w:pPr/>
            <w:r>
              <w:t xml:space="preserve">15</w:t>
            </w:r>
          </w:p>
        </w:tc>
        <w:tc>
          <w:tcPr>
            <w:tcW w:w="1480" w:type="dxa"/>
          </w:tcPr>
          <w:p>
            <w:pPr/>
            <w:r>
              <w:t xml:space="preserve">8</w:t>
            </w:r>
          </w:p>
        </w:tc>
        <w:tc>
          <w:tcPr>
            <w:tcW w:w="1001" w:type="dxa"/>
          </w:tcPr>
          <w:p>
            <w:pPr/>
            <w:r>
              <w:t xml:space="preserve">7</w:t>
            </w:r>
          </w:p>
        </w:tc>
        <w:tc>
          <w:tcPr>
            <w:tcW w:w="3526" w:type="dxa"/>
          </w:tcPr>
          <w:p>
            <w:pPr/>
            <w:r>
              <w:t xml:space="preserve">2,096</w:t>
            </w:r>
          </w:p>
        </w:tc>
      </w:tr>
      <w:tr>
        <w:tc>
          <w:tcPr>
            <w:tcW w:w="1044" w:type="dxa"/>
          </w:tcPr>
          <w:p>
            <w:pPr/>
            <w:r>
              <w:t xml:space="preserve">Total</w:t>
            </w:r>
          </w:p>
        </w:tc>
        <w:tc>
          <w:tcPr>
            <w:tcW w:w="1002" w:type="dxa"/>
          </w:tcPr>
          <w:p>
            <w:pPr/>
          </w:p>
        </w:tc>
        <w:tc>
          <w:tcPr>
            <w:tcW w:w="1306" w:type="dxa"/>
          </w:tcPr>
          <w:p>
            <w:pPr/>
            <w:r>
              <w:t xml:space="preserve">39</w:t>
            </w:r>
          </w:p>
        </w:tc>
        <w:tc>
          <w:tcPr>
            <w:tcW w:w="1480" w:type="dxa"/>
          </w:tcPr>
          <w:p>
            <w:pPr/>
            <w:r>
              <w:t xml:space="preserve">17</w:t>
            </w:r>
          </w:p>
        </w:tc>
        <w:tc>
          <w:tcPr>
            <w:tcW w:w="1001" w:type="dxa"/>
          </w:tcPr>
          <w:p>
            <w:pPr/>
            <w:r>
              <w:t xml:space="preserve">22</w:t>
            </w:r>
          </w:p>
        </w:tc>
        <w:tc>
          <w:tcPr>
            <w:tcW w:w="3526" w:type="dxa"/>
          </w:tcPr>
          <w:p>
            <w:pPr/>
            <w:r>
              <w:t xml:space="preserve">8,848</w:t>
            </w:r>
          </w:p>
        </w:tc>
      </w:tr>
    </w:tbl>
    <w:p>
      <w:pPr/>
      <w:r>
        <w:t xml:space="preserve">The vCPU figures are worked out from the instance counts in our tfvars and the vCPUs per machine type, so please treat them as close estimates.</w:t>
      </w:r>
    </w:p>
    <w:p>
      <w:pPr>
        <w:pStyle w:val="Heading2"/>
      </w:pPr>
      <w:r>
        <w:t xml:space="preserve">What succeeded and why</w:t>
      </w:r>
    </w:p>
    <w:p>
      <w:pPr/>
      <w:r>
        <w:t xml:space="preserve">These 17 reservations went through. They worked simply because, at the moment we ran the apply, Google had spare capacity for that machine family in that zone. A zone can be full for one family and still have room for another, which is exactly what we saw.</w:t>
      </w:r>
    </w:p>
    <w:tbl>
      <w:tblPr>
        <w:tblStyle w:val="TableGrid"/>
        <w:tblW w:w="0" w:type="auto"/>
        <w:tblLayout w:type="fixed"/>
        <w:tblLook w:val="04A0" w:firstRow="1" w:lastRow="0" w:firstColumn="0" w:lastColumn="0" w:noHBand="0" w:noVBand="1"/>
      </w:tblPr>
      <w:tblGrid>
        <w:gridCol w:w="1309"/>
        <w:gridCol w:w="1364"/>
        <w:gridCol w:w="3344"/>
        <w:gridCol w:w="3341"/>
      </w:tblGrid>
      <w:tr>
        <w:trPr>
          <w:tblHeader/>
        </w:trPr>
        <w:tc>
          <w:tcPr>
            <w:tcW w:w="1309" w:type="dxa"/>
            <w:shd w:val="clear" w:color="auto" w:fill="F2F2F2"/>
          </w:tcPr>
          <w:p>
            <w:pPr/>
            <w:r>
              <w:t xml:space="preserve">Region</w:t>
            </w:r>
          </w:p>
        </w:tc>
        <w:tc>
          <w:tcPr>
            <w:tcW w:w="1364" w:type="dxa"/>
            <w:shd w:val="clear" w:color="auto" w:fill="F2F2F2"/>
          </w:tcPr>
          <w:p>
            <w:pPr/>
            <w:r>
              <w:t xml:space="preserve">Project</w:t>
            </w:r>
          </w:p>
        </w:tc>
        <w:tc>
          <w:tcPr>
            <w:tcW w:w="3344" w:type="dxa"/>
            <w:shd w:val="clear" w:color="auto" w:fill="F2F2F2"/>
          </w:tcPr>
          <w:p>
            <w:pPr/>
            <w:r>
              <w:t xml:space="preserve">Machine type</w:t>
            </w:r>
          </w:p>
        </w:tc>
        <w:tc>
          <w:tcPr>
            <w:tcW w:w="3341" w:type="dxa"/>
            <w:shd w:val="clear" w:color="auto" w:fill="F2F2F2"/>
          </w:tcPr>
          <w:p>
            <w:pPr/>
            <w:r>
              <w:t xml:space="preserve">Zone (VMs reserved)</w:t>
            </w:r>
          </w:p>
        </w:tc>
      </w:tr>
      <w:tr>
        <w:tc>
          <w:tcPr>
            <w:tcW w:w="1309" w:type="dxa"/>
          </w:tcPr>
          <w:p>
            <w:pPr/>
            <w:r>
              <w:t xml:space="preserve">EW2</w:t>
            </w:r>
          </w:p>
        </w:tc>
        <w:tc>
          <w:tcPr>
            <w:tcW w:w="1364" w:type="dxa"/>
          </w:tcPr>
          <w:p>
            <w:pPr/>
            <w:r>
              <w:t xml:space="preserve">svp01</w:t>
            </w:r>
          </w:p>
        </w:tc>
        <w:tc>
          <w:tcPr>
            <w:tcW w:w="3344" w:type="dxa"/>
          </w:tcPr>
          <w:p>
            <w:pPr/>
            <w:r>
              <w:t xml:space="preserve">n2-custom-32-73728</w:t>
            </w:r>
          </w:p>
        </w:tc>
        <w:tc>
          <w:tcPr>
            <w:tcW w:w="3341" w:type="dxa"/>
          </w:tcPr>
          <w:p>
            <w:pPr/>
            <w:r>
              <w:t xml:space="preserve">c (27)</w:t>
            </w:r>
          </w:p>
        </w:tc>
      </w:tr>
      <w:tr>
        <w:tc>
          <w:tcPr>
            <w:tcW w:w="1309" w:type="dxa"/>
          </w:tcPr>
          <w:p>
            <w:pPr/>
            <w:r>
              <w:t xml:space="preserve">EW2</w:t>
            </w:r>
          </w:p>
        </w:tc>
        <w:tc>
          <w:tcPr>
            <w:tcW w:w="1364" w:type="dxa"/>
          </w:tcPr>
          <w:p>
            <w:pPr/>
            <w:r>
              <w:t xml:space="preserve">svp01</w:t>
            </w:r>
          </w:p>
        </w:tc>
        <w:tc>
          <w:tcPr>
            <w:tcW w:w="3344" w:type="dxa"/>
          </w:tcPr>
          <w:p>
            <w:pPr/>
            <w:r>
              <w:t xml:space="preserve">n2-custom-32-90112</w:t>
            </w:r>
          </w:p>
        </w:tc>
        <w:tc>
          <w:tcPr>
            <w:tcW w:w="3341" w:type="dxa"/>
          </w:tcPr>
          <w:p>
            <w:pPr/>
            <w:r>
              <w:t xml:space="preserve">b (6), c (7)</w:t>
            </w:r>
          </w:p>
        </w:tc>
      </w:tr>
      <w:tr>
        <w:tc>
          <w:tcPr>
            <w:tcW w:w="1309" w:type="dxa"/>
          </w:tcPr>
          <w:p>
            <w:pPr/>
            <w:r>
              <w:t xml:space="preserve">EW2</w:t>
            </w:r>
          </w:p>
        </w:tc>
        <w:tc>
          <w:tcPr>
            <w:tcW w:w="1364" w:type="dxa"/>
          </w:tcPr>
          <w:p>
            <w:pPr/>
            <w:r>
              <w:t xml:space="preserve">svp01</w:t>
            </w:r>
          </w:p>
        </w:tc>
        <w:tc>
          <w:tcPr>
            <w:tcW w:w="3344" w:type="dxa"/>
          </w:tcPr>
          <w:p>
            <w:pPr/>
            <w:r>
              <w:t xml:space="preserve">n2-custom-64-147456</w:t>
            </w:r>
          </w:p>
        </w:tc>
        <w:tc>
          <w:tcPr>
            <w:tcW w:w="3341" w:type="dxa"/>
          </w:tcPr>
          <w:p>
            <w:pPr/>
            <w:r>
              <w:t xml:space="preserve">c (10)</w:t>
            </w:r>
          </w:p>
        </w:tc>
      </w:tr>
      <w:tr>
        <w:tc>
          <w:tcPr>
            <w:tcW w:w="1309" w:type="dxa"/>
          </w:tcPr>
          <w:p>
            <w:pPr/>
            <w:r>
              <w:t xml:space="preserve">EW2</w:t>
            </w:r>
          </w:p>
        </w:tc>
        <w:tc>
          <w:tcPr>
            <w:tcW w:w="1364" w:type="dxa"/>
          </w:tcPr>
          <w:p>
            <w:pPr/>
            <w:r>
              <w:t xml:space="preserve">svp01</w:t>
            </w:r>
          </w:p>
        </w:tc>
        <w:tc>
          <w:tcPr>
            <w:tcW w:w="3344" w:type="dxa"/>
          </w:tcPr>
          <w:p>
            <w:pPr/>
            <w:r>
              <w:t xml:space="preserve">n2-custom-80-192512</w:t>
            </w:r>
          </w:p>
        </w:tc>
        <w:tc>
          <w:tcPr>
            <w:tcW w:w="3341" w:type="dxa"/>
          </w:tcPr>
          <w:p>
            <w:pPr/>
            <w:r>
              <w:t xml:space="preserve">c (5)</w:t>
            </w:r>
          </w:p>
        </w:tc>
      </w:tr>
      <w:tr>
        <w:tc>
          <w:tcPr>
            <w:tcW w:w="1309" w:type="dxa"/>
          </w:tcPr>
          <w:p>
            <w:pPr/>
            <w:r>
              <w:t xml:space="preserve">EW2</w:t>
            </w:r>
          </w:p>
        </w:tc>
        <w:tc>
          <w:tcPr>
            <w:tcW w:w="1364" w:type="dxa"/>
          </w:tcPr>
          <w:p>
            <w:pPr/>
            <w:r>
              <w:t xml:space="preserve">svp01</w:t>
            </w:r>
          </w:p>
        </w:tc>
        <w:tc>
          <w:tcPr>
            <w:tcW w:w="3344" w:type="dxa"/>
          </w:tcPr>
          <w:p>
            <w:pPr/>
            <w:r>
              <w:t xml:space="preserve">n4-custom-32-73728</w:t>
            </w:r>
          </w:p>
        </w:tc>
        <w:tc>
          <w:tcPr>
            <w:tcW w:w="3341" w:type="dxa"/>
          </w:tcPr>
          <w:p>
            <w:pPr/>
            <w:r>
              <w:t xml:space="preserve">a (6)</w:t>
            </w:r>
          </w:p>
        </w:tc>
      </w:tr>
      <w:tr>
        <w:tc>
          <w:tcPr>
            <w:tcW w:w="1309" w:type="dxa"/>
          </w:tcPr>
          <w:p>
            <w:pPr/>
            <w:r>
              <w:t xml:space="preserve">EW2</w:t>
            </w:r>
          </w:p>
        </w:tc>
        <w:tc>
          <w:tcPr>
            <w:tcW w:w="1364" w:type="dxa"/>
          </w:tcPr>
          <w:p>
            <w:pPr/>
            <w:r>
              <w:t xml:space="preserve">svp02</w:t>
            </w:r>
          </w:p>
        </w:tc>
        <w:tc>
          <w:tcPr>
            <w:tcW w:w="3344" w:type="dxa"/>
          </w:tcPr>
          <w:p>
            <w:pPr/>
            <w:r>
              <w:t xml:space="preserve">n2-standard-32</w:t>
            </w:r>
          </w:p>
        </w:tc>
        <w:tc>
          <w:tcPr>
            <w:tcW w:w="3341" w:type="dxa"/>
          </w:tcPr>
          <w:p>
            <w:pPr/>
            <w:r>
              <w:t xml:space="preserve">c (5)</w:t>
            </w:r>
          </w:p>
        </w:tc>
      </w:tr>
      <w:tr>
        <w:tc>
          <w:tcPr>
            <w:tcW w:w="1309" w:type="dxa"/>
          </w:tcPr>
          <w:p>
            <w:pPr/>
            <w:r>
              <w:t xml:space="preserve">EW2</w:t>
            </w:r>
          </w:p>
        </w:tc>
        <w:tc>
          <w:tcPr>
            <w:tcW w:w="1364" w:type="dxa"/>
          </w:tcPr>
          <w:p>
            <w:pPr/>
            <w:r>
              <w:t xml:space="preserve">svp02</w:t>
            </w:r>
          </w:p>
        </w:tc>
        <w:tc>
          <w:tcPr>
            <w:tcW w:w="3344" w:type="dxa"/>
          </w:tcPr>
          <w:p>
            <w:pPr/>
            <w:r>
              <w:t xml:space="preserve">n2-custom-32-73728</w:t>
            </w:r>
          </w:p>
        </w:tc>
        <w:tc>
          <w:tcPr>
            <w:tcW w:w="3341" w:type="dxa"/>
          </w:tcPr>
          <w:p>
            <w:pPr/>
            <w:r>
              <w:t xml:space="preserve">c (27)</w:t>
            </w:r>
          </w:p>
        </w:tc>
      </w:tr>
      <w:tr>
        <w:tc>
          <w:tcPr>
            <w:tcW w:w="1309" w:type="dxa"/>
          </w:tcPr>
          <w:p>
            <w:pPr/>
            <w:r>
              <w:t xml:space="preserve">EW2</w:t>
            </w:r>
          </w:p>
        </w:tc>
        <w:tc>
          <w:tcPr>
            <w:tcW w:w="1364" w:type="dxa"/>
          </w:tcPr>
          <w:p>
            <w:pPr/>
            <w:r>
              <w:t xml:space="preserve">svp02</w:t>
            </w:r>
          </w:p>
        </w:tc>
        <w:tc>
          <w:tcPr>
            <w:tcW w:w="3344" w:type="dxa"/>
          </w:tcPr>
          <w:p>
            <w:pPr/>
            <w:r>
              <w:t xml:space="preserve">n4-custom-32-73728</w:t>
            </w:r>
          </w:p>
        </w:tc>
        <w:tc>
          <w:tcPr>
            <w:tcW w:w="3341" w:type="dxa"/>
          </w:tcPr>
          <w:p>
            <w:pPr/>
            <w:r>
              <w:t xml:space="preserve">a (13)</w:t>
            </w:r>
          </w:p>
        </w:tc>
      </w:tr>
      <w:tr>
        <w:tc>
          <w:tcPr>
            <w:tcW w:w="1309" w:type="dxa"/>
          </w:tcPr>
          <w:p>
            <w:pPr/>
            <w:r>
              <w:t xml:space="preserve">EW1</w:t>
            </w:r>
          </w:p>
        </w:tc>
        <w:tc>
          <w:tcPr>
            <w:tcW w:w="1364" w:type="dxa"/>
          </w:tcPr>
          <w:p>
            <w:pPr/>
            <w:r>
              <w:t xml:space="preserve">svp01</w:t>
            </w:r>
          </w:p>
        </w:tc>
        <w:tc>
          <w:tcPr>
            <w:tcW w:w="3344" w:type="dxa"/>
          </w:tcPr>
          <w:p>
            <w:pPr/>
            <w:r>
              <w:t xml:space="preserve">n2-custom-32-73728</w:t>
            </w:r>
          </w:p>
        </w:tc>
        <w:tc>
          <w:tcPr>
            <w:tcW w:w="3341" w:type="dxa"/>
          </w:tcPr>
          <w:p>
            <w:pPr/>
            <w:r>
              <w:t xml:space="preserve">c (14), d (13)</w:t>
            </w:r>
          </w:p>
        </w:tc>
      </w:tr>
      <w:tr>
        <w:tc>
          <w:tcPr>
            <w:tcW w:w="1309" w:type="dxa"/>
          </w:tcPr>
          <w:p>
            <w:pPr/>
            <w:r>
              <w:t xml:space="preserve">EW1</w:t>
            </w:r>
          </w:p>
        </w:tc>
        <w:tc>
          <w:tcPr>
            <w:tcW w:w="1364" w:type="dxa"/>
          </w:tcPr>
          <w:p>
            <w:pPr/>
            <w:r>
              <w:t xml:space="preserve">svp01</w:t>
            </w:r>
          </w:p>
        </w:tc>
        <w:tc>
          <w:tcPr>
            <w:tcW w:w="3344" w:type="dxa"/>
          </w:tcPr>
          <w:p>
            <w:pPr/>
            <w:r>
              <w:t xml:space="preserve">n2-custom-80-192512</w:t>
            </w:r>
          </w:p>
        </w:tc>
        <w:tc>
          <w:tcPr>
            <w:tcW w:w="3341" w:type="dxa"/>
          </w:tcPr>
          <w:p>
            <w:pPr/>
            <w:r>
              <w:t xml:space="preserve">c (10), d (9)</w:t>
            </w:r>
          </w:p>
        </w:tc>
      </w:tr>
      <w:tr>
        <w:tc>
          <w:tcPr>
            <w:tcW w:w="1309" w:type="dxa"/>
          </w:tcPr>
          <w:p>
            <w:pPr/>
            <w:r>
              <w:t xml:space="preserve">EW1</w:t>
            </w:r>
          </w:p>
        </w:tc>
        <w:tc>
          <w:tcPr>
            <w:tcW w:w="1364" w:type="dxa"/>
          </w:tcPr>
          <w:p>
            <w:pPr/>
            <w:r>
              <w:t xml:space="preserve">svp01</w:t>
            </w:r>
          </w:p>
        </w:tc>
        <w:tc>
          <w:tcPr>
            <w:tcW w:w="3344" w:type="dxa"/>
          </w:tcPr>
          <w:p>
            <w:pPr/>
            <w:r>
              <w:t xml:space="preserve">n4-custom-32-73728</w:t>
            </w:r>
          </w:p>
        </w:tc>
        <w:tc>
          <w:tcPr>
            <w:tcW w:w="3341" w:type="dxa"/>
          </w:tcPr>
          <w:p>
            <w:pPr/>
            <w:r>
              <w:t xml:space="preserve">b (4)</w:t>
            </w:r>
          </w:p>
        </w:tc>
      </w:tr>
      <w:tr>
        <w:tc>
          <w:tcPr>
            <w:tcW w:w="1309" w:type="dxa"/>
          </w:tcPr>
          <w:p>
            <w:pPr/>
            <w:r>
              <w:t xml:space="preserve">EW1</w:t>
            </w:r>
          </w:p>
        </w:tc>
        <w:tc>
          <w:tcPr>
            <w:tcW w:w="1364" w:type="dxa"/>
          </w:tcPr>
          <w:p>
            <w:pPr/>
            <w:r>
              <w:t xml:space="preserve">svp02</w:t>
            </w:r>
          </w:p>
        </w:tc>
        <w:tc>
          <w:tcPr>
            <w:tcW w:w="3344" w:type="dxa"/>
          </w:tcPr>
          <w:p>
            <w:pPr/>
            <w:r>
              <w:t xml:space="preserve">n4-custom-32-73728</w:t>
            </w:r>
          </w:p>
        </w:tc>
        <w:tc>
          <w:tcPr>
            <w:tcW w:w="3341" w:type="dxa"/>
          </w:tcPr>
          <w:p>
            <w:pPr/>
            <w:r>
              <w:t xml:space="preserve">c (5)</w:t>
            </w:r>
          </w:p>
        </w:tc>
      </w:tr>
      <w:tr>
        <w:tc>
          <w:tcPr>
            <w:tcW w:w="1309" w:type="dxa"/>
          </w:tcPr>
          <w:p>
            <w:pPr/>
            <w:r>
              <w:t xml:space="preserve">EW1</w:t>
            </w:r>
          </w:p>
        </w:tc>
        <w:tc>
          <w:tcPr>
            <w:tcW w:w="1364" w:type="dxa"/>
          </w:tcPr>
          <w:p>
            <w:pPr/>
            <w:r>
              <w:t xml:space="preserve">svp02</w:t>
            </w:r>
          </w:p>
        </w:tc>
        <w:tc>
          <w:tcPr>
            <w:tcW w:w="3344" w:type="dxa"/>
          </w:tcPr>
          <w:p>
            <w:pPr/>
            <w:r>
              <w:t xml:space="preserve">n4-standard-32</w:t>
            </w:r>
          </w:p>
        </w:tc>
        <w:tc>
          <w:tcPr>
            <w:tcW w:w="3341" w:type="dxa"/>
          </w:tcPr>
          <w:p>
            <w:pPr/>
            <w:r>
              <w:t xml:space="preserve">b (5), c (4)</w:t>
            </w:r>
          </w:p>
        </w:tc>
      </w:tr>
    </w:tbl>
    <w:p>
      <w:pPr/>
      <w:r>
        <w:t xml:space="preserve">One thing to keep in mind: a reservation that exists is not automatically useful. Our node pools use ANY affinity, so a node uses a reservation only if its project, zone and machine type match exactly. We still need to confirm the in-use count on each of these (step 2 in the action plan) before we call them done.</w:t>
      </w:r>
    </w:p>
    <w:p>
      <w:pPr>
        <w:pStyle w:val="Heading2"/>
      </w:pPr>
      <w:r>
        <w:t xml:space="preserve">What failed and why</w:t>
      </w:r>
    </w:p>
    <w:p>
      <w:pPr/>
      <w:r>
        <w:t xml:space="preserve">All 22 failures are capacity problems on Google's side, not a quota issue and not a bug in our Terraform. They fall into three types.</w:t>
      </w:r>
    </w:p>
    <w:tbl>
      <w:tblPr>
        <w:tblStyle w:val="TableGrid"/>
        <w:tblW w:w="0" w:type="auto"/>
        <w:tblLayout w:type="fixed"/>
        <w:tblLook w:val="04A0" w:firstRow="1" w:lastRow="0" w:firstColumn="0" w:lastColumn="0" w:noHBand="0" w:noVBand="1"/>
      </w:tblPr>
      <w:tblGrid>
        <w:gridCol w:w="3120"/>
        <w:gridCol w:w="2355"/>
        <w:gridCol w:w="3885"/>
      </w:tblGrid>
      <w:tr>
        <w:trPr>
          <w:tblHeader/>
        </w:trPr>
        <w:tc>
          <w:tcPr>
            <w:tcW w:w="3120" w:type="dxa"/>
            <w:shd w:val="clear" w:color="auto" w:fill="F2F2F2"/>
          </w:tcPr>
          <w:p>
            <w:pPr/>
            <w:r>
              <w:t xml:space="preserve">Error type</w:t>
            </w:r>
          </w:p>
        </w:tc>
        <w:tc>
          <w:tcPr>
            <w:tcW w:w="2355" w:type="dxa"/>
            <w:shd w:val="clear" w:color="auto" w:fill="F2F2F2"/>
          </w:tcPr>
          <w:p>
            <w:pPr/>
            <w:r>
              <w:t xml:space="preserve">Where we saw it</w:t>
            </w:r>
          </w:p>
        </w:tc>
        <w:tc>
          <w:tcPr>
            <w:tcW w:w="3885" w:type="dxa"/>
            <w:shd w:val="clear" w:color="auto" w:fill="F2F2F2"/>
          </w:tcPr>
          <w:p>
            <w:pPr/>
            <w:r>
              <w:t xml:space="preserve">What it actually means</w:t>
            </w:r>
          </w:p>
        </w:tc>
      </w:tr>
      <w:tr>
        <w:tc>
          <w:tcPr>
            <w:tcW w:w="3120" w:type="dxa"/>
          </w:tcPr>
          <w:p>
            <w:pPr/>
            <w:r>
              <w:t xml:space="preserve">CPU availability (the error has a reason field)</w:t>
            </w:r>
          </w:p>
        </w:tc>
        <w:tc>
          <w:tcPr>
            <w:tcW w:w="2355" w:type="dxa"/>
          </w:tcPr>
          <w:p>
            <w:pPr/>
            <w:r>
              <w:t xml:space="preserve">EW2-b n2-custom-64-147456, EW2-b n2-custom-32-73728, EW2-a n2-custom-32-73728</w:t>
            </w:r>
          </w:p>
        </w:tc>
        <w:tc>
          <w:tcPr>
            <w:tcW w:w="3885" w:type="dxa"/>
          </w:tcPr>
          <w:p>
            <w:pPr/>
            <w:r>
              <w:t xml:space="preserve">The zone has no vCPU left for that shape right now. Google's message itself suggested trying the other EW2 zones.</w:t>
            </w:r>
          </w:p>
        </w:tc>
      </w:tr>
      <w:tr>
        <w:tc>
          <w:tcPr>
            <w:tcW w:w="3120" w:type="dxa"/>
          </w:tcPr>
          <w:p>
            <w:pPr/>
            <w:r>
              <w:t xml:space="preserve">General capacity unavailable</w:t>
            </w:r>
          </w:p>
        </w:tc>
        <w:tc>
          <w:tcPr>
            <w:tcW w:w="2355" w:type="dxa"/>
          </w:tcPr>
          <w:p>
            <w:pPr/>
            <w:r>
              <w:t xml:space="preserve">Most of the rest: n2 shapes in EW2-a and EW2-b, n4 in EW2-b, n2 in EW1-b, n4 in EW1-c and EW1-d</w:t>
            </w:r>
          </w:p>
        </w:tc>
        <w:tc>
          <w:tcPr>
            <w:tcW w:w="3885" w:type="dxa"/>
          </w:tcPr>
          <w:p>
            <w:pPr/>
            <w:r>
              <w:t xml:space="preserve">That shape is simply out of stock in that zone at the moment. Google calls this a resource availability error, and it is separate from quota.</w:t>
            </w:r>
          </w:p>
        </w:tc>
      </w:tr>
      <w:tr>
        <w:tc>
          <w:tcPr>
            <w:tcW w:w="3120" w:type="dxa"/>
          </w:tcPr>
          <w:p>
            <w:pPr/>
            <w:r>
              <w:t xml:space="preserve">RESERVATION_CAPACITY_LIMIT_EXCEEDED</w:t>
            </w:r>
          </w:p>
        </w:tc>
        <w:tc>
          <w:tcPr>
            <w:tcW w:w="2355" w:type="dxa"/>
          </w:tcPr>
          <w:p>
            <w:pPr/>
            <w:r>
              <w:t xml:space="preserve">n4-custom-32-73728 in EW2-c (and EW2-b for svp02)</w:t>
            </w:r>
          </w:p>
        </w:tc>
        <w:tc>
          <w:tcPr>
            <w:tcW w:w="3885" w:type="dxa"/>
          </w:tcPr>
          <w:p>
            <w:pPr/>
            <w:r>
              <w:t xml:space="preserve">The zone has no spare reservation capacity for the n4 family. Google rejects the request so that we are not charged twice for VMs that are already running there.</w:t>
            </w:r>
          </w:p>
        </w:tc>
      </w:tr>
    </w:tbl>
    <w:p>
      <w:pPr/>
      <w:r>
        <w:t xml:space="preserve">When we put all the results side by side, a few patterns come out clearly. These are our own reading of the results, not a statement from Google.</w:t>
      </w:r>
    </w:p>
    <w:p>
      <w:pPr>
        <w:pStyle w:val="ListParagraph"/>
        <w:numPr>
          <w:ilvl w:val="0"/>
          <w:numId w:val="2"/>
        </w:numPr>
      </w:pPr>
      <w:r>
        <w:t xml:space="preserve">In EW2, n2 reservations only went through in zone c and n4 only in zone a. Zone b is the tightest of all: just 1 of 8 requests succeeded there.</w:t>
      </w:r>
    </w:p>
    <w:p>
      <w:pPr>
        <w:pStyle w:val="ListParagraph"/>
        <w:numPr>
          <w:ilvl w:val="0"/>
          <w:numId w:val="2"/>
        </w:numPr>
      </w:pPr>
      <w:r>
        <w:t xml:space="preserve">In EW1, n2 failed only in zone b, and n4 never succeeded in zone d.</w:t>
      </w:r>
    </w:p>
    <w:p>
      <w:pPr>
        <w:pStyle w:val="ListParagraph"/>
        <w:numPr>
          <w:ilvl w:val="0"/>
          <w:numId w:val="2"/>
        </w:numPr>
      </w:pPr>
      <w:r>
        <w:t xml:space="preserve">The single biggest gap is n2-custom-32-73728 in EW2-a and EW2-b across both projects, roughly 102 VMs or about 3,264 vCPU.</w:t>
      </w:r>
    </w:p>
    <w:p>
      <w:pPr>
        <w:pStyle w:val="ListParagraph"/>
        <w:numPr>
          <w:ilvl w:val="0"/>
          <w:numId w:val="2"/>
        </w:numPr>
      </w:pPr>
      <w:r>
        <w:t xml:space="preserve">svp01 and svp02 are fighting for the same zonal capacity, and whichever applies first wins. In EW1-b, for example, svp01 got its n4 reservation and svp02 did not.</w:t>
      </w:r>
    </w:p>
    <w:p>
      <w:pPr>
        <w:pStyle w:val="ListParagraph"/>
        <w:numPr>
          <w:ilvl w:val="0"/>
          <w:numId w:val="2"/>
        </w:numPr>
      </w:pPr>
      <w:r>
        <w:t xml:space="preserve">Big requests are all-or-nothing. If a zone can give us 20 VMs and we ask for 26, we get zero.</w:t>
      </w:r>
    </w:p>
    <w:p>
      <w:pPr>
        <w:pStyle w:val="ListParagraph"/>
        <w:numPr>
          <w:ilvl w:val="0"/>
          <w:numId w:val="2"/>
        </w:numPr>
      </w:pPr>
      <w:r>
        <w:t xml:space="preserve">Some of our counts are higher than what actually runs in that zone. We asked for about 26 n2 VMs in EW2-b, where far fewer nodes run, so we made the hardest zone even harder to satisfy.</w:t>
      </w:r>
    </w:p>
    <w:p>
      <w:pPr>
        <w:pStyle w:val="Heading2"/>
      </w:pPr>
      <w:r>
        <w:t xml:space="preserve">Action plan</w:t>
      </w:r>
    </w:p>
    <w:p>
      <w:pPr/>
      <w:r>
        <w:t xml:space="preserve">Our plan is to protect what runs today first, then chase the missing capacity with smaller retries, future reservations and a direct conversation with Google. The steps below are written in ASD-STE100 style, so each one is a short, clear instruction.</w:t>
      </w:r>
    </w:p>
    <w:tbl>
      <w:tblPr>
        <w:tblStyle w:val="TableGrid"/>
        <w:tblW w:w="0" w:type="auto"/>
        <w:tblLayout w:type="fixed"/>
        <w:tblLook w:val="04A0" w:firstRow="1" w:lastRow="0" w:firstColumn="0" w:lastColumn="0" w:noHBand="0" w:noVBand="1"/>
      </w:tblPr>
      <w:tblGrid>
        <w:gridCol w:w="720"/>
        <w:gridCol w:w="2905"/>
        <w:gridCol w:w="2603"/>
        <w:gridCol w:w="1748"/>
        <w:gridCol w:w="1384"/>
      </w:tblGrid>
      <w:tr>
        <w:trPr>
          <w:tblHeader/>
        </w:trPr>
        <w:tc>
          <w:tcPr>
            <w:tcW w:w="720" w:type="dxa"/>
            <w:shd w:val="clear" w:color="auto" w:fill="F2F2F2"/>
          </w:tcPr>
          <w:p>
            <w:pPr/>
            <w:r>
              <w:t xml:space="preserve">#</w:t>
            </w:r>
          </w:p>
        </w:tc>
        <w:tc>
          <w:tcPr>
            <w:tcW w:w="2905" w:type="dxa"/>
            <w:shd w:val="clear" w:color="auto" w:fill="F2F2F2"/>
          </w:tcPr>
          <w:p>
            <w:pPr/>
            <w:r>
              <w:t xml:space="preserve">Action</w:t>
            </w:r>
          </w:p>
        </w:tc>
        <w:tc>
          <w:tcPr>
            <w:tcW w:w="2603" w:type="dxa"/>
            <w:shd w:val="clear" w:color="auto" w:fill="F2F2F2"/>
          </w:tcPr>
          <w:p>
            <w:pPr/>
            <w:r>
              <w:t xml:space="preserve">Why</w:t>
            </w:r>
          </w:p>
        </w:tc>
        <w:tc>
          <w:tcPr>
            <w:tcW w:w="1748" w:type="dxa"/>
            <w:shd w:val="clear" w:color="auto" w:fill="F2F2F2"/>
          </w:tcPr>
          <w:p>
            <w:pPr/>
            <w:r>
              <w:t xml:space="preserve">Output</w:t>
            </w:r>
          </w:p>
        </w:tc>
        <w:tc>
          <w:tcPr>
            <w:tcW w:w="1384" w:type="dxa"/>
            <w:shd w:val="clear" w:color="auto" w:fill="F2F2F2"/>
          </w:tcPr>
          <w:p>
            <w:pPr/>
            <w:r>
              <w:t xml:space="preserve">Status</w:t>
            </w:r>
          </w:p>
        </w:tc>
      </w:tr>
      <w:tr>
        <w:tc>
          <w:tcPr>
            <w:tcW w:w="720" w:type="dxa"/>
          </w:tcPr>
          <w:p>
            <w:pPr/>
            <w:r>
              <w:t xml:space="preserve">1</w:t>
            </w:r>
          </w:p>
        </w:tc>
        <w:tc>
          <w:tcPr>
            <w:tcW w:w="2905" w:type="dxa"/>
          </w:tcPr>
          <w:p>
            <w:pPr/>
            <w:r>
              <w:t xml:space="preserve">Do not change the running node pools.</w:t>
            </w:r>
          </w:p>
        </w:tc>
        <w:tc>
          <w:tcPr>
            <w:tcW w:w="2603" w:type="dxa"/>
          </w:tcPr>
          <w:p>
            <w:pPr/>
            <w:r>
              <w:t xml:space="preserve">A failed reservation does not stop running nodes.</w:t>
            </w:r>
          </w:p>
        </w:tc>
        <w:tc>
          <w:tcPr>
            <w:tcW w:w="1748" w:type="dxa"/>
          </w:tcPr>
          <w:p>
            <w:pPr/>
            <w:r>
              <w:t xml:space="preserve">No impact on tenants.</w:t>
            </w:r>
          </w:p>
        </w:tc>
        <w:tc>
          <w:tcPr>
            <w:tcW w:w="1384" w:type="dxa"/>
          </w:tcPr>
          <w:p>
            <w:pPr/>
            <w:r>
              <w:t xml:space="preserve">Not started</w:t>
            </w:r>
          </w:p>
        </w:tc>
      </w:tr>
      <w:tr>
        <w:tc>
          <w:tcPr>
            <w:tcW w:w="720" w:type="dxa"/>
          </w:tcPr>
          <w:p>
            <w:pPr/>
            <w:r>
              <w:t xml:space="preserve">2</w:t>
            </w:r>
          </w:p>
        </w:tc>
        <w:tc>
          <w:tcPr>
            <w:tcW w:w="2905" w:type="dxa"/>
          </w:tcPr>
          <w:p>
            <w:pPr/>
            <w:r>
              <w:t xml:space="preserve">Run </w:t>
            </w:r>
            <w:r>
              <w:rPr>
                <w:rStyle w:val="CodeChar"/>
              </w:rPr>
              <w:t xml:space="preserve">gcloud compute reservations describe</w:t>
            </w:r>
            <w:r>
              <w:t xml:space="preserve"> for each successful reservation. Read the in-use count.</w:t>
            </w:r>
          </w:p>
        </w:tc>
        <w:tc>
          <w:tcPr>
            <w:tcW w:w="2603" w:type="dxa"/>
          </w:tcPr>
          <w:p>
            <w:pPr/>
            <w:r>
              <w:t xml:space="preserve">A reservation must match the node VMs exactly. An in-use count of 0 shows a mismatch.</w:t>
            </w:r>
          </w:p>
        </w:tc>
        <w:tc>
          <w:tcPr>
            <w:tcW w:w="1748" w:type="dxa"/>
          </w:tcPr>
          <w:p>
            <w:pPr/>
            <w:r>
              <w:t xml:space="preserve">A list of used and idle reservations.</w:t>
            </w:r>
          </w:p>
        </w:tc>
        <w:tc>
          <w:tcPr>
            <w:tcW w:w="1384" w:type="dxa"/>
          </w:tcPr>
          <w:p>
            <w:pPr/>
            <w:r>
              <w:t xml:space="preserve">Not started</w:t>
            </w:r>
          </w:p>
        </w:tc>
      </w:tr>
      <w:tr>
        <w:tc>
          <w:tcPr>
            <w:tcW w:w="720" w:type="dxa"/>
          </w:tcPr>
          <w:p>
            <w:pPr/>
            <w:r>
              <w:t xml:space="preserve">3</w:t>
            </w:r>
          </w:p>
        </w:tc>
        <w:tc>
          <w:tcPr>
            <w:tcW w:w="2905" w:type="dxa"/>
          </w:tcPr>
          <w:p>
            <w:pPr/>
            <w:r>
              <w:t xml:space="preserve">Make sure the module sets </w:t>
            </w:r>
            <w:r>
              <w:rPr>
                <w:rStyle w:val="CodeChar"/>
              </w:rPr>
              <w:t xml:space="preserve">specific_reservation_required = false</w:t>
            </w:r>
            <w:r>
              <w:t xml:space="preserve">.</w:t>
            </w:r>
          </w:p>
        </w:tc>
        <w:tc>
          <w:tcPr>
            <w:tcW w:w="2603" w:type="dxa"/>
          </w:tcPr>
          <w:p>
            <w:pPr/>
            <w:r>
              <w:t xml:space="preserve">Our node pools use ANY affinity. A specific reservation stays idle and we still pay for it.</w:t>
            </w:r>
          </w:p>
        </w:tc>
        <w:tc>
          <w:tcPr>
            <w:tcW w:w="1748" w:type="dxa"/>
          </w:tcPr>
          <w:p>
            <w:pPr/>
            <w:r>
              <w:t xml:space="preserve">Confirmed setting.</w:t>
            </w:r>
          </w:p>
        </w:tc>
        <w:tc>
          <w:tcPr>
            <w:tcW w:w="1384" w:type="dxa"/>
          </w:tcPr>
          <w:p>
            <w:pPr/>
            <w:r>
              <w:t xml:space="preserve">Not started</w:t>
            </w:r>
          </w:p>
        </w:tc>
      </w:tr>
      <w:tr>
        <w:tc>
          <w:tcPr>
            <w:tcW w:w="720" w:type="dxa"/>
          </w:tcPr>
          <w:p>
            <w:pPr/>
            <w:r>
              <w:t xml:space="preserve">4</w:t>
            </w:r>
          </w:p>
        </w:tc>
        <w:tc>
          <w:tcPr>
            <w:tcW w:w="2905" w:type="dxa"/>
          </w:tcPr>
          <w:p>
            <w:pPr/>
            <w:r>
              <w:t xml:space="preserve">Run the capacity tool (v2026-10-28.1) on all four PRE clusters with </w:t>
            </w:r>
            <w:r>
              <w:rPr>
                <w:rStyle w:val="CodeChar"/>
              </w:rPr>
              <w:t xml:space="preserve">--days 30 --surge-mode one</w:t>
            </w:r>
            <w:r>
              <w:t xml:space="preserve">.</w:t>
            </w:r>
          </w:p>
        </w:tc>
        <w:tc>
          <w:tcPr>
            <w:tcW w:w="2603" w:type="dxa"/>
          </w:tcPr>
          <w:p>
            <w:pPr/>
            <w:r>
              <w:t xml:space="preserve">The tool gives the peak for each shape in each zone, plus 1 surge VM.</w:t>
            </w:r>
          </w:p>
        </w:tc>
        <w:tc>
          <w:tcPr>
            <w:tcW w:w="1748" w:type="dxa"/>
          </w:tcPr>
          <w:p>
            <w:pPr/>
            <w:r>
              <w:t xml:space="preserve">Capacity Reservation Table.</w:t>
            </w:r>
          </w:p>
        </w:tc>
        <w:tc>
          <w:tcPr>
            <w:tcW w:w="1384" w:type="dxa"/>
          </w:tcPr>
          <w:p>
            <w:pPr/>
            <w:r>
              <w:t xml:space="preserve">Not started</w:t>
            </w:r>
          </w:p>
        </w:tc>
      </w:tr>
      <w:tr>
        <w:tc>
          <w:tcPr>
            <w:tcW w:w="720" w:type="dxa"/>
          </w:tcPr>
          <w:p>
            <w:pPr/>
            <w:r>
              <w:t xml:space="preserve">5</w:t>
            </w:r>
          </w:p>
        </w:tc>
        <w:tc>
          <w:tcPr>
            <w:tcW w:w="2905" w:type="dxa"/>
          </w:tcPr>
          <w:p>
            <w:pPr/>
            <w:r>
              <w:t xml:space="preserve">Replace the even split with the per-zone counts from the table.</w:t>
            </w:r>
          </w:p>
        </w:tc>
        <w:tc>
          <w:tcPr>
            <w:tcW w:w="2603" w:type="dxa"/>
          </w:tcPr>
          <w:p>
            <w:pPr/>
            <w:r>
              <w:t xml:space="preserve">Zone b has fewer nodes. A smaller request in zone b has a better chance to succeed.</w:t>
            </w:r>
          </w:p>
        </w:tc>
        <w:tc>
          <w:tcPr>
            <w:tcW w:w="1748" w:type="dxa"/>
          </w:tcPr>
          <w:p>
            <w:pPr/>
            <w:r>
              <w:t xml:space="preserve">Updated tfvars.</w:t>
            </w:r>
          </w:p>
        </w:tc>
        <w:tc>
          <w:tcPr>
            <w:tcW w:w="1384" w:type="dxa"/>
          </w:tcPr>
          <w:p>
            <w:pPr/>
            <w:r>
              <w:t xml:space="preserve">Not started</w:t>
            </w:r>
          </w:p>
        </w:tc>
      </w:tr>
      <w:tr>
        <w:tc>
          <w:tcPr>
            <w:tcW w:w="720" w:type="dxa"/>
          </w:tcPr>
          <w:p>
            <w:pPr/>
            <w:r>
              <w:t xml:space="preserve">6</w:t>
            </w:r>
          </w:p>
        </w:tc>
        <w:tc>
          <w:tcPr>
            <w:tcW w:w="2905" w:type="dxa"/>
          </w:tcPr>
          <w:p>
            <w:pPr/>
            <w:r>
              <w:t xml:space="preserve">Reserve the nodes that run now first. Add headroom after that.</w:t>
            </w:r>
          </w:p>
        </w:tc>
        <w:tc>
          <w:tcPr>
            <w:tcW w:w="2603" w:type="dxa"/>
          </w:tcPr>
          <w:p>
            <w:pPr/>
            <w:r>
              <w:t xml:space="preserve">This protects today's workload before growth.</w:t>
            </w:r>
          </w:p>
        </w:tc>
        <w:tc>
          <w:tcPr>
            <w:tcW w:w="1748" w:type="dxa"/>
          </w:tcPr>
          <w:p>
            <w:pPr/>
            <w:r>
              <w:t xml:space="preserve">Base reservations in place.</w:t>
            </w:r>
          </w:p>
        </w:tc>
        <w:tc>
          <w:tcPr>
            <w:tcW w:w="1384" w:type="dxa"/>
          </w:tcPr>
          <w:p>
            <w:pPr/>
            <w:r>
              <w:t xml:space="preserve">Not started</w:t>
            </w:r>
          </w:p>
        </w:tc>
      </w:tr>
      <w:tr>
        <w:tc>
          <w:tcPr>
            <w:tcW w:w="720" w:type="dxa"/>
          </w:tcPr>
          <w:p>
            <w:pPr/>
            <w:r>
              <w:t xml:space="preserve">7</w:t>
            </w:r>
          </w:p>
        </w:tc>
        <w:tc>
          <w:tcPr>
            <w:tcW w:w="2905" w:type="dxa"/>
          </w:tcPr>
          <w:p>
            <w:pPr/>
            <w:r>
              <w:t xml:space="preserve">Split each request of more than 10 VMs into smaller reservations, for example </w:t>
            </w:r>
            <w:r>
              <w:rPr>
                <w:rStyle w:val="CodeChar"/>
              </w:rPr>
              <w:t xml:space="preserve">-a-1</w:t>
            </w:r>
            <w:r>
              <w:t xml:space="preserve"> and </w:t>
            </w:r>
            <w:r>
              <w:rPr>
                <w:rStyle w:val="CodeChar"/>
              </w:rPr>
              <w:t xml:space="preserve">-a-2</w:t>
            </w:r>
            <w:r>
              <w:t xml:space="preserve">.</w:t>
            </w:r>
          </w:p>
        </w:tc>
        <w:tc>
          <w:tcPr>
            <w:tcW w:w="2603" w:type="dxa"/>
          </w:tcPr>
          <w:p>
            <w:pPr/>
            <w:r>
              <w:t xml:space="preserve">Google advises fewer VMs per request. A small request has a better chance to succeed.</w:t>
            </w:r>
          </w:p>
        </w:tc>
        <w:tc>
          <w:tcPr>
            <w:tcW w:w="1748" w:type="dxa"/>
          </w:tcPr>
          <w:p>
            <w:pPr/>
            <w:r>
              <w:t xml:space="preserve">More successful applies.</w:t>
            </w:r>
          </w:p>
        </w:tc>
        <w:tc>
          <w:tcPr>
            <w:tcW w:w="1384" w:type="dxa"/>
          </w:tcPr>
          <w:p>
            <w:pPr/>
            <w:r>
              <w:t xml:space="preserve">Not started</w:t>
            </w:r>
          </w:p>
        </w:tc>
      </w:tr>
      <w:tr>
        <w:tc>
          <w:tcPr>
            <w:tcW w:w="720" w:type="dxa"/>
          </w:tcPr>
          <w:p>
            <w:pPr/>
            <w:r>
              <w:t xml:space="preserve">8</w:t>
            </w:r>
          </w:p>
        </w:tc>
        <w:tc>
          <w:tcPr>
            <w:tcW w:w="2905" w:type="dxa"/>
          </w:tcPr>
          <w:p>
            <w:pPr/>
            <w:r>
              <w:t xml:space="preserve">Run the apply again for the failed zones every 4 to 6 hours for 3 days. Run svp01 and svp02 at different times.</w:t>
            </w:r>
          </w:p>
        </w:tc>
        <w:tc>
          <w:tcPr>
            <w:tcW w:w="2603" w:type="dxa"/>
          </w:tcPr>
          <w:p>
            <w:pPr/>
            <w:r>
              <w:t xml:space="preserve">Capacity changes over time. The two projects compete for the same zone.</w:t>
            </w:r>
          </w:p>
        </w:tc>
        <w:tc>
          <w:tcPr>
            <w:tcW w:w="1748" w:type="dxa"/>
          </w:tcPr>
          <w:p>
            <w:pPr/>
            <w:r>
              <w:t xml:space="preserve">Failed reservations retried automatically.</w:t>
            </w:r>
          </w:p>
        </w:tc>
        <w:tc>
          <w:tcPr>
            <w:tcW w:w="1384" w:type="dxa"/>
          </w:tcPr>
          <w:p>
            <w:pPr/>
            <w:r>
              <w:t xml:space="preserve">Not started</w:t>
            </w:r>
          </w:p>
        </w:tc>
      </w:tr>
      <w:tr>
        <w:tc>
          <w:tcPr>
            <w:tcW w:w="720" w:type="dxa"/>
          </w:tcPr>
          <w:p>
            <w:pPr/>
            <w:r>
              <w:t xml:space="preserve">9</w:t>
            </w:r>
          </w:p>
        </w:tc>
        <w:tc>
          <w:tcPr>
            <w:tcW w:w="2905" w:type="dxa"/>
          </w:tcPr>
          <w:p>
            <w:pPr/>
            <w:r>
              <w:t xml:space="preserve">Read the autoscaler log for </w:t>
            </w:r>
            <w:r>
              <w:rPr>
                <w:rStyle w:val="CodeChar"/>
              </w:rPr>
              <w:t xml:space="preserve">scale.up.error.out.of.resources</w:t>
            </w:r>
            <w:r>
              <w:t xml:space="preserve"> in each cluster.</w:t>
            </w:r>
          </w:p>
        </w:tc>
        <w:tc>
          <w:tcPr>
            <w:tcW w:w="2603" w:type="dxa"/>
          </w:tcPr>
          <w:p>
            <w:pPr/>
            <w:r>
              <w:t xml:space="preserve">This shows real stockouts, not only reservation failures.</w:t>
            </w:r>
          </w:p>
        </w:tc>
        <w:tc>
          <w:tcPr>
            <w:tcW w:w="1748" w:type="dxa"/>
          </w:tcPr>
          <w:p>
            <w:pPr/>
            <w:r>
              <w:t xml:space="preserve">A list of zones with real stockouts.</w:t>
            </w:r>
          </w:p>
        </w:tc>
        <w:tc>
          <w:tcPr>
            <w:tcW w:w="1384" w:type="dxa"/>
          </w:tcPr>
          <w:p>
            <w:pPr/>
            <w:r>
              <w:t xml:space="preserve">Not started</w:t>
            </w:r>
          </w:p>
        </w:tc>
      </w:tr>
      <w:tr>
        <w:tc>
          <w:tcPr>
            <w:tcW w:w="720" w:type="dxa"/>
          </w:tcPr>
          <w:p>
            <w:pPr/>
            <w:r>
              <w:t xml:space="preserve">10</w:t>
            </w:r>
          </w:p>
        </w:tc>
        <w:tc>
          <w:tcPr>
            <w:tcW w:w="2905" w:type="dxa"/>
          </w:tcPr>
          <w:p>
            <w:pPr/>
            <w:r>
              <w:t xml:space="preserve">Send a future reservation request for n2-custom-32-73728 in EW2-a and EW2-b.</w:t>
            </w:r>
          </w:p>
        </w:tc>
        <w:tc>
          <w:tcPr>
            <w:tcW w:w="2603" w:type="dxa"/>
          </w:tcPr>
          <w:p>
            <w:pPr/>
            <w:r>
              <w:t xml:space="preserve">This is the largest gap. Google reviews these requests, typically in about 5 days.</w:t>
            </w:r>
          </w:p>
        </w:tc>
        <w:tc>
          <w:tcPr>
            <w:tcW w:w="1748" w:type="dxa"/>
          </w:tcPr>
          <w:p>
            <w:pPr/>
            <w:r>
              <w:t xml:space="preserve">Request ID and approval status.</w:t>
            </w:r>
          </w:p>
        </w:tc>
        <w:tc>
          <w:tcPr>
            <w:tcW w:w="1384" w:type="dxa"/>
          </w:tcPr>
          <w:p>
            <w:pPr/>
            <w:r>
              <w:t xml:space="preserve">Not started</w:t>
            </w:r>
          </w:p>
        </w:tc>
      </w:tr>
      <w:tr>
        <w:tc>
          <w:tcPr>
            <w:tcW w:w="720" w:type="dxa"/>
          </w:tcPr>
          <w:p>
            <w:pPr/>
            <w:r>
              <w:t xml:space="preserve">11</w:t>
            </w:r>
          </w:p>
        </w:tc>
        <w:tc>
          <w:tcPr>
            <w:tcW w:w="2905" w:type="dxa"/>
          </w:tcPr>
          <w:p>
            <w:pPr/>
            <w:r>
              <w:t xml:space="preserve">For n4 in EW2-c, test an n2 reservation. Do this only if the pool can use n2.</w:t>
            </w:r>
          </w:p>
        </w:tc>
        <w:tc>
          <w:tcPr>
            <w:tcW w:w="2603" w:type="dxa"/>
          </w:tcPr>
          <w:p>
            <w:pPr/>
            <w:r>
              <w:t xml:space="preserve">Google's documented fix for the limit error is another machine family.</w:t>
            </w:r>
          </w:p>
        </w:tc>
        <w:tc>
          <w:tcPr>
            <w:tcW w:w="1748" w:type="dxa"/>
          </w:tcPr>
          <w:p>
            <w:pPr/>
            <w:r>
              <w:t xml:space="preserve">Decision on the machine family.</w:t>
            </w:r>
          </w:p>
        </w:tc>
        <w:tc>
          <w:tcPr>
            <w:tcW w:w="1384" w:type="dxa"/>
          </w:tcPr>
          <w:p>
            <w:pPr/>
            <w:r>
              <w:t xml:space="preserve">Not started</w:t>
            </w:r>
          </w:p>
        </w:tc>
      </w:tr>
      <w:tr>
        <w:tc>
          <w:tcPr>
            <w:tcW w:w="720" w:type="dxa"/>
          </w:tcPr>
          <w:p>
            <w:pPr/>
            <w:r>
              <w:t xml:space="preserve">12</w:t>
            </w:r>
          </w:p>
        </w:tc>
        <w:tc>
          <w:tcPr>
            <w:tcW w:w="2905" w:type="dxa"/>
          </w:tcPr>
          <w:p>
            <w:pPr/>
            <w:r>
              <w:t xml:space="preserve">Send the results to the Google account team (TAM). Ask which shapes they can give in each zone.</w:t>
            </w:r>
          </w:p>
        </w:tc>
        <w:tc>
          <w:tcPr>
            <w:tcW w:w="2603" w:type="dxa"/>
          </w:tcPr>
          <w:p>
            <w:pPr/>
            <w:r>
              <w:t xml:space="preserve">Failures in 6 zones and 2 regions need a capacity discussion with Google.</w:t>
            </w:r>
          </w:p>
        </w:tc>
        <w:tc>
          <w:tcPr>
            <w:tcW w:w="1748" w:type="dxa"/>
          </w:tcPr>
          <w:p>
            <w:pPr/>
            <w:r>
              <w:t xml:space="preserve">Capacity commitment from Google.</w:t>
            </w:r>
          </w:p>
        </w:tc>
        <w:tc>
          <w:tcPr>
            <w:tcW w:w="1384" w:type="dxa"/>
          </w:tcPr>
          <w:p>
            <w:pPr/>
            <w:r>
              <w:t xml:space="preserve">Not started</w:t>
            </w:r>
          </w:p>
        </w:tc>
      </w:tr>
      <w:tr>
        <w:tc>
          <w:tcPr>
            <w:tcW w:w="720" w:type="dxa"/>
          </w:tcPr>
          <w:p>
            <w:pPr/>
            <w:r>
              <w:t xml:space="preserve">13</w:t>
            </w:r>
          </w:p>
        </w:tc>
        <w:tc>
          <w:tcPr>
            <w:tcW w:w="2905" w:type="dxa"/>
          </w:tcPr>
          <w:p>
            <w:pPr/>
            <w:r>
              <w:t xml:space="preserve">Agree which environment gets capacity first.</w:t>
            </w:r>
          </w:p>
        </w:tc>
        <w:tc>
          <w:tcPr>
            <w:tcW w:w="2603" w:type="dxa"/>
          </w:tcPr>
          <w:p>
            <w:pPr/>
            <w:r>
              <w:t xml:space="preserve">PRE uses the same tight zones that PRD needs.</w:t>
            </w:r>
          </w:p>
        </w:tc>
        <w:tc>
          <w:tcPr>
            <w:tcW w:w="1748" w:type="dxa"/>
          </w:tcPr>
          <w:p>
            <w:pPr/>
            <w:r>
              <w:t xml:space="preserve">Rule: PRD first, PRE gets a smaller base.</w:t>
            </w:r>
          </w:p>
        </w:tc>
        <w:tc>
          <w:tcPr>
            <w:tcW w:w="1384" w:type="dxa"/>
          </w:tcPr>
          <w:p>
            <w:pPr/>
            <w:r>
              <w:t xml:space="preserve">Not started</w:t>
            </w:r>
          </w:p>
        </w:tc>
      </w:tr>
      <w:tr>
        <w:tc>
          <w:tcPr>
            <w:tcW w:w="720" w:type="dxa"/>
          </w:tcPr>
          <w:p>
            <w:pPr/>
            <w:r>
              <w:t xml:space="preserve">14</w:t>
            </w:r>
          </w:p>
        </w:tc>
        <w:tc>
          <w:tcPr>
            <w:tcW w:w="2905" w:type="dxa"/>
          </w:tcPr>
          <w:p>
            <w:pPr/>
            <w:r>
              <w:t xml:space="preserve">Record each request in one tracker: zone, shape, count, status and retry date.</w:t>
            </w:r>
          </w:p>
        </w:tc>
        <w:tc>
          <w:tcPr>
            <w:tcW w:w="2603" w:type="dxa"/>
          </w:tcPr>
          <w:p>
            <w:pPr/>
            <w:r>
              <w:t xml:space="preserve">The team and Google can see the same status.</w:t>
            </w:r>
          </w:p>
        </w:tc>
        <w:tc>
          <w:tcPr>
            <w:tcW w:w="1748" w:type="dxa"/>
          </w:tcPr>
          <w:p>
            <w:pPr/>
            <w:r>
              <w:t xml:space="preserve">Shared tracker.</w:t>
            </w:r>
          </w:p>
        </w:tc>
        <w:tc>
          <w:tcPr>
            <w:tcW w:w="1384" w:type="dxa"/>
          </w:tcPr>
          <w:p>
            <w:pPr/>
            <w:r>
              <w:t xml:space="preserve">Not started</w:t>
            </w:r>
          </w:p>
        </w:tc>
      </w:tr>
    </w:tbl>
    <w:p>
      <w:pPr/>
      <w:r>
        <w:t xml:space="preserve">If we can do only one thing tomorrow, it should be step 2. It tells us the 17 reservations we already pay for are really being used before we add any more.</w:t>
      </w:r>
    </w:p>
    <w:p>
      <w:pPr>
        <w:pStyle w:val="Heading2"/>
      </w:pPr>
      <w:r>
        <w:t xml:space="preserve">Sources</w:t>
      </w:r>
    </w:p>
    <w:p>
      <w:pPr>
        <w:pStyle w:val="ListParagraph"/>
        <w:numPr>
          <w:ilvl w:val="0"/>
          <w:numId w:val="3"/>
        </w:numPr>
      </w:pPr>
      <w:hyperlink r:id="rId3" w:history="1">
        <w:r>
          <w:rPr>
            <w:rStyle w:val="Hyperlink"/>
          </w:rPr>
          <w:t xml:space="preserve">Troubleshooting reservation creation</w:t>
        </w:r>
      </w:hyperlink>
      <w:r>
        <w:t xml:space="preserve"> (Compute Engine): resource availability errors and RESERVATION_CAPACITY_LIMIT_EXCEEDED, with Google's suggested fixes</w:t>
      </w:r>
    </w:p>
    <w:p>
      <w:pPr>
        <w:pStyle w:val="ListParagraph"/>
        <w:numPr>
          <w:ilvl w:val="0"/>
          <w:numId w:val="3"/>
        </w:numPr>
      </w:pPr>
      <w:hyperlink r:id="rId4" w:history="1">
        <w:r>
          <w:rPr>
            <w:rStyle w:val="Hyperlink"/>
          </w:rPr>
          <w:t xml:space="preserve">Troubleshooting resource availability errors</w:t>
        </w:r>
      </w:hyperlink>
      <w:r>
        <w:t xml:space="preserve"> (Compute Engine): what the errors mean and the order to try fixes in</w:t>
      </w:r>
    </w:p>
    <w:p>
      <w:pPr>
        <w:pStyle w:val="ListParagraph"/>
        <w:numPr>
          <w:ilvl w:val="0"/>
          <w:numId w:val="3"/>
        </w:numPr>
      </w:pPr>
      <w:hyperlink r:id="rId5" w:history="1">
        <w:r>
          <w:rPr>
            <w:rStyle w:val="Hyperlink"/>
          </w:rPr>
          <w:t xml:space="preserve">Consuming reserved zonal resources</w:t>
        </w:r>
      </w:hyperlink>
      <w:r>
        <w:t xml:space="preserve"> (GKE): ANY and specific affinity, and how regional node pools use zonal reservations</w:t>
      </w:r>
    </w:p>
    <w:p>
      <w:pPr>
        <w:pStyle w:val="ListParagraph"/>
        <w:numPr>
          <w:ilvl w:val="0"/>
          <w:numId w:val="3"/>
        </w:numPr>
      </w:pPr>
      <w:hyperlink r:id="rId6" w:history="1">
        <w:r>
          <w:rPr>
            <w:rStyle w:val="Hyperlink"/>
          </w:rPr>
          <w:t xml:space="preserve">About future reservation requests</w:t>
        </w:r>
      </w:hyperlink>
      <w:r>
        <w:t xml:space="preserve"> (Compute Engine): how future reservations are reviewed and provisioned</w:t>
      </w:r>
    </w:p>
    <w:p>
      <w:pPr>
        <w:pStyle w:val="ListParagraph"/>
        <w:numPr>
          <w:ilvl w:val="0"/>
          <w:numId w:val="3"/>
        </w:numPr>
      </w:pPr>
      <w:hyperlink r:id="rId7" w:history="1">
        <w:r>
          <w:rPr>
            <w:rStyle w:val="Hyperlink"/>
          </w:rPr>
          <w:t xml:space="preserve">Choose a reservation type</w:t>
        </w:r>
      </w:hyperlink>
      <w:r>
        <w:t xml:space="preserve"> (Compute Engine): the typical review time for future reservations</w:t>
      </w:r>
    </w:p>
    <w:p>
      <w:pPr>
        <w:pStyle w:val="ListParagraph"/>
        <w:numPr>
          <w:ilvl w:val="0"/>
          <w:numId w:val="3"/>
        </w:numPr>
      </w:pPr>
      <w:hyperlink r:id="rId8" w:history="1">
        <w:r>
          <w:rPr>
            <w:rStyle w:val="Hyperlink"/>
          </w:rPr>
          <w:t xml:space="preserve">Troubleshoot cluster autoscaler not scaling up</w:t>
        </w:r>
      </w:hyperlink>
      <w:r>
        <w:t xml:space="preserve"> (GKE): the </w:t>
      </w:r>
      <w:r>
        <w:rPr>
          <w:rStyle w:val="CodeChar"/>
        </w:rPr>
        <w:t xml:space="preserve">scale.up.error.out.of.resources</w:t>
      </w:r>
      <w:r>
        <w:t xml:space="preserve"> log query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docs.cloud.google.com/compute/docs/troubleshooting/troubleshooting-reservation-creation" TargetMode="External"/><Relationship Id="rId4" Type="http://schemas.openxmlformats.org/officeDocument/2006/relationships/hyperlink" Target="https://docs.cloud.google.com/compute/docs/troubleshooting/troubleshooting-resource-availability" TargetMode="External"/><Relationship Id="rId5" Type="http://schemas.openxmlformats.org/officeDocument/2006/relationships/hyperlink" Target="https://docs.cloud.google.com/kubernetes-engine/docs/how-to/consuming-reservations" TargetMode="External"/><Relationship Id="rId6" Type="http://schemas.openxmlformats.org/officeDocument/2006/relationships/hyperlink" Target="https://cloud.google.com/compute/docs/future-reservations" TargetMode="External"/><Relationship Id="rId7" Type="http://schemas.openxmlformats.org/officeDocument/2006/relationships/hyperlink" Target="https://cloud.google.com/compute/docs/instances/choose-reservation-type" TargetMode="External"/><Relationship Id="rId8" Type="http://schemas.openxmlformats.org/officeDocument/2006/relationships/hyperlink" Target="https://docs.cloud.google.com/kubernetes-engine/docs/troubleshooting/cluster-autoscaler-scale-up"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 Reservation Apply – Results and Action Plan</dc:title>
  <dc:description>Claude Docs node/57e2a86f-ed50@7 docx-w7</dc:description>
  <cp:revision>7</cp:revision>
</cp:coreProperties>
</file>