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i w:val="0"/>
          <w:sz w:val="32"/>
        </w:rPr>
        <w:t>A Privacy-Preserving Federated Learning Framework</w:t>
        <w:br/>
        <w:t>with Explainability Auditing for</w:t>
        <w:br/>
        <w:t>Staffing-Acuity Mismatch Prediction in Long-Term Care</w:t>
      </w:r>
    </w:p>
    <w:p/>
    <w:p>
      <w:pPr>
        <w:jc w:val="center"/>
      </w:pPr>
      <w:r>
        <w:rPr>
          <w:b/>
          <w:i w:val="0"/>
          <w:sz w:val="24"/>
        </w:rPr>
        <w:t xml:space="preserve">Course No.: </w:t>
      </w:r>
      <w:r>
        <w:rPr>
          <w:b w:val="0"/>
          <w:i w:val="0"/>
          <w:sz w:val="24"/>
        </w:rPr>
        <w:t>AIMLCZG628T</w:t>
      </w:r>
    </w:p>
    <w:p>
      <w:pPr>
        <w:jc w:val="center"/>
      </w:pPr>
      <w:r>
        <w:rPr>
          <w:b/>
          <w:i w:val="0"/>
          <w:sz w:val="24"/>
        </w:rPr>
        <w:t xml:space="preserve">Course Title: </w:t>
      </w:r>
      <w:r>
        <w:rPr>
          <w:b w:val="0"/>
          <w:i w:val="0"/>
          <w:sz w:val="24"/>
        </w:rPr>
        <w:t>Dissertation</w:t>
      </w:r>
    </w:p>
    <w:p>
      <w:pPr>
        <w:jc w:val="center"/>
      </w:pPr>
      <w:r>
        <w:t xml:space="preserve"> </w:t>
      </w:r>
    </w:p>
    <w:p>
      <w:pPr>
        <w:jc w:val="center"/>
      </w:pPr>
      <w:r>
        <w:rPr>
          <w:b/>
          <w:i w:val="0"/>
          <w:sz w:val="24"/>
        </w:rPr>
        <w:t xml:space="preserve">Dissertation by: </w:t>
      </w:r>
      <w:r>
        <w:rPr>
          <w:b w:val="0"/>
          <w:i w:val="0"/>
          <w:sz w:val="24"/>
        </w:rPr>
      </w:r>
    </w:p>
    <w:p>
      <w:pPr>
        <w:jc w:val="center"/>
      </w:pPr>
      <w:r>
        <w:rPr>
          <w:b/>
          <w:i w:val="0"/>
          <w:sz w:val="24"/>
        </w:rPr>
        <w:t xml:space="preserve">Student Name: </w:t>
      </w:r>
      <w:r>
        <w:rPr>
          <w:b w:val="0"/>
          <w:i w:val="0"/>
          <w:sz w:val="24"/>
        </w:rPr>
        <w:t>Tanay Kashyap</w:t>
      </w:r>
    </w:p>
    <w:p>
      <w:pPr>
        <w:jc w:val="center"/>
      </w:pPr>
      <w:r>
        <w:rPr>
          <w:b/>
          <w:i w:val="0"/>
          <w:sz w:val="24"/>
        </w:rPr>
        <w:t xml:space="preserve">BITS ID: </w:t>
      </w:r>
      <w:r>
        <w:rPr>
          <w:b w:val="0"/>
          <w:i w:val="0"/>
          <w:sz w:val="24"/>
        </w:rPr>
        <w:t>2024AA05991</w:t>
      </w:r>
    </w:p>
    <w:p>
      <w:pPr>
        <w:jc w:val="center"/>
      </w:pPr>
      <w:r>
        <w:t xml:space="preserve"> </w:t>
      </w:r>
    </w:p>
    <w:p>
      <w:pPr>
        <w:jc w:val="center"/>
      </w:pPr>
      <w:r>
        <w:rPr>
          <w:b/>
          <w:i w:val="0"/>
          <w:sz w:val="24"/>
        </w:rPr>
        <w:t xml:space="preserve">Degree Programme: </w:t>
      </w:r>
      <w:r>
        <w:rPr>
          <w:b w:val="0"/>
          <w:i w:val="0"/>
          <w:sz w:val="24"/>
        </w:rPr>
        <w:t>M.Tech in AI &amp; ML</w:t>
      </w:r>
    </w:p>
    <w:p>
      <w:pPr>
        <w:jc w:val="center"/>
      </w:pPr>
      <w:r>
        <w:rPr>
          <w:b/>
          <w:i w:val="0"/>
          <w:sz w:val="24"/>
        </w:rPr>
        <w:t xml:space="preserve">Organisation: </w:t>
      </w:r>
      <w:r>
        <w:rPr>
          <w:b w:val="0"/>
          <w:i w:val="0"/>
          <w:sz w:val="24"/>
        </w:rPr>
        <w:t>NuAlg Infotech Private Limited, Indore</w:t>
      </w:r>
    </w:p>
    <w:p>
      <w:pPr>
        <w:jc w:val="center"/>
      </w:pPr>
      <w:r>
        <w:rPr>
          <w:b/>
          <w:i w:val="0"/>
          <w:sz w:val="24"/>
        </w:rPr>
        <w:t xml:space="preserve">Evaluation: </w:t>
      </w:r>
      <w:r>
        <w:rPr>
          <w:b w:val="0"/>
          <w:i w:val="0"/>
          <w:sz w:val="24"/>
        </w:rPr>
        <w:t>MidSEM -- June 2026</w:t>
      </w:r>
    </w:p>
    <w:p/>
    <w:p>
      <w:pPr>
        <w:jc w:val="center"/>
      </w:pPr>
      <w:r>
        <w:rPr>
          <w:b/>
          <w:i w:val="0"/>
          <w:sz w:val="24"/>
        </w:rPr>
        <w:t>BIRLA INSTITUTE OF TECHNOLOGY &amp; SCIENCE, PILANI</w:t>
        <w:br/>
        <w:t>VIDYA VIHAR, PILANI, RAJASTHAN - 333031</w:t>
      </w:r>
    </w:p>
    <w:p>
      <w:r>
        <w:br w:type="page"/>
      </w:r>
    </w:p>
    <w:p>
      <w:pPr>
        <w:jc w:val="left"/>
      </w:pPr>
      <w:r>
        <w:rPr>
          <w:b/>
          <w:i w:val="0"/>
          <w:sz w:val="26"/>
        </w:rPr>
        <w:t>ABSTRACT</w:t>
      </w:r>
    </w:p>
    <w:p>
      <w:pPr>
        <w:pBdr>
          <w:bottom w:val="single" w:sz="6" w:space="1" w:color="AAAAAA"/>
        </w:pBdr>
      </w:pPr>
    </w:p>
    <w:p/>
    <w:p>
      <w:r>
        <w:rPr>
          <w:b w:val="0"/>
          <w:i w:val="0"/>
          <w:sz w:val="22"/>
        </w:rPr>
        <w:t>FedAcuity is a privacy-preserving Federated Learning (FL) framework for predicting staffing-acuity mismatch in Long-Term Care (LTC) facilities -- where resident care needs exceed available nursing capacity. Under HIPAA, resident health records cannot be centralised, making cross-facility collaborative learning impossible through conventional ML. FedAcuity resolves this through three standalone, independently publishable contributions: (C1) a domain-driven Clustered FL system that groups facilities by care type (Memory Care, Skilled Nursing, Independent Living) to address extreme non-IID heterogeneity, augmented with Opacus differential privacy; (C2) a CTGAN-based synthetic LTC benchmark dataset with fidelity validation via KS-tests, Frobenius norm, and TSTR experiments; and (C3) a 4-dimension XAI Audit Scorecard measuring explanation fidelity, stability, fairness, and clinical plausibility via SHAP (planned for post-MidSEM phase).</w:t>
      </w:r>
    </w:p>
    <w:p/>
    <w:p>
      <w:r>
        <w:rPr>
          <w:b w:val="0"/>
          <w:i w:val="0"/>
          <w:sz w:val="22"/>
        </w:rPr>
        <w:t>At MidSEM, all C1 and C2 components are implemented and validated. On held-out Independent Living facilities (unseen during training), Clustered FL achieves AUC-ROC of 0.9677 and F1 of 0.7033 -- outperforming FedAvg (AUC 0.9057) by 6.2 AUC points on held-out IL facilities. CFL matches care-type local performance (IL Local AUC 0.9677), confirming that care-type clustering avoids cross-domain gradient interference. Statistical significance is confirmed (Mann-Whitney U=364, p=0.0039). Differential privacy sweep shows that epsilon=10 is the recommended operating point (15.4% utility degradation). The XAI Audit Scorecard (C3) is scheduled for Weeks 3-4 post-MidSEM.</w:t>
      </w:r>
    </w:p>
    <w:p/>
    <w:p>
      <w:r>
        <w:rPr>
          <w:b/>
        </w:rPr>
        <w:t>Signature of the Student</w:t>
      </w:r>
      <w:r>
        <w:t xml:space="preserve">                                    </w:t>
      </w:r>
      <w:r>
        <w:rPr>
          <w:b/>
        </w:rPr>
        <w:t>Signature of the Supervisor</w:t>
      </w:r>
    </w:p>
    <w:p/>
    <w:p>
      <w:r>
        <w:rPr>
          <w:b w:val="0"/>
          <w:i w:val="0"/>
          <w:sz w:val="22"/>
        </w:rPr>
        <w:t>Name: _______________________                    Name: _______________________</w:t>
      </w:r>
    </w:p>
    <w:p>
      <w:r>
        <w:rPr>
          <w:b w:val="0"/>
          <w:i w:val="0"/>
          <w:sz w:val="22"/>
        </w:rPr>
        <w:t>Date: _______________________                    Date: _______________________</w:t>
      </w:r>
    </w:p>
    <w:p>
      <w:r>
        <w:rPr>
          <w:b w:val="0"/>
          <w:i w:val="0"/>
          <w:sz w:val="22"/>
        </w:rPr>
        <w:t>Place: ______________________                    Place: ______________________</w:t>
      </w:r>
    </w:p>
    <w:p>
      <w:r>
        <w:br w:type="page"/>
      </w:r>
    </w:p>
    <w:p>
      <w:pPr>
        <w:jc w:val="left"/>
      </w:pPr>
      <w:r>
        <w:rPr>
          <w:b/>
          <w:i w:val="0"/>
          <w:sz w:val="26"/>
        </w:rPr>
        <w:t>CONTENTS</w:t>
      </w:r>
    </w:p>
    <w:p>
      <w:pPr>
        <w:pBdr>
          <w:bottom w:val="single" w:sz="6" w:space="1" w:color="AAAAAA"/>
        </w:pBdr>
      </w:pPr>
    </w:p>
    <w:p>
      <w:r>
        <w:rPr>
          <w:b w:val="0"/>
          <w:i w:val="0"/>
          <w:sz w:val="22"/>
        </w:rPr>
        <w:t>1.  Work Completed -- Implemented Components</w:t>
      </w:r>
      <w:r>
        <w:rPr>
          <w:b w:val="0"/>
          <w:i w:val="0"/>
          <w:sz w:val="22"/>
        </w:rPr>
        <w:t xml:space="preserve">  ...............  4</w:t>
      </w:r>
    </w:p>
    <w:p>
      <w:r>
        <w:rPr>
          <w:b w:val="0"/>
          <w:i w:val="0"/>
          <w:sz w:val="22"/>
        </w:rPr>
        <w:t>2.  System Architecture and Description</w:t>
      </w:r>
      <w:r>
        <w:rPr>
          <w:b w:val="0"/>
          <w:i w:val="0"/>
          <w:sz w:val="22"/>
        </w:rPr>
        <w:t xml:space="preserve">  ....................  6</w:t>
      </w:r>
    </w:p>
    <w:p>
      <w:r>
        <w:rPr>
          <w:b w:val="0"/>
          <w:i w:val="0"/>
          <w:sz w:val="22"/>
        </w:rPr>
        <w:t>3.  Experimental Results</w:t>
      </w:r>
      <w:r>
        <w:rPr>
          <w:b w:val="0"/>
          <w:i w:val="0"/>
          <w:sz w:val="22"/>
        </w:rPr>
        <w:t xml:space="preserve">  ...................................  7</w:t>
      </w:r>
    </w:p>
    <w:p>
      <w:r>
        <w:rPr>
          <w:b w:val="0"/>
          <w:i w:val="0"/>
          <w:sz w:val="22"/>
        </w:rPr>
        <w:t>4.  Design Decisions and Challenges</w:t>
      </w:r>
      <w:r>
        <w:rPr>
          <w:b w:val="0"/>
          <w:i w:val="0"/>
          <w:sz w:val="22"/>
        </w:rPr>
        <w:t xml:space="preserve">  ........................  9</w:t>
      </w:r>
    </w:p>
    <w:p>
      <w:r>
        <w:rPr>
          <w:b w:val="0"/>
          <w:i w:val="0"/>
          <w:sz w:val="22"/>
        </w:rPr>
        <w:t>5.  Future Plan</w:t>
      </w:r>
      <w:r>
        <w:rPr>
          <w:b w:val="0"/>
          <w:i w:val="0"/>
          <w:sz w:val="22"/>
        </w:rPr>
        <w:t xml:space="preserve">  ............................................  10</w:t>
      </w:r>
    </w:p>
    <w:p>
      <w:r>
        <w:br w:type="page"/>
      </w:r>
    </w:p>
    <w:p>
      <w:pPr>
        <w:jc w:val="left"/>
      </w:pPr>
      <w:r>
        <w:rPr>
          <w:b/>
          <w:i w:val="0"/>
          <w:sz w:val="26"/>
        </w:rPr>
        <w:t>1. WORK COMPLETED -- IMPLEMENTED COMPONENTS</w:t>
      </w:r>
    </w:p>
    <w:p>
      <w:pPr>
        <w:pBdr>
          <w:bottom w:val="single" w:sz="6" w:space="1" w:color="AAAAAA"/>
        </w:pBdr>
      </w:pPr>
    </w:p>
    <w:p/>
    <w:p>
      <w:pPr>
        <w:jc w:val="left"/>
      </w:pPr>
      <w:r>
        <w:rPr>
          <w:b/>
          <w:i w:val="0"/>
          <w:sz w:val="24"/>
        </w:rPr>
        <w:t>1.1 Data Engineering Module (Contribution C2)</w:t>
      </w:r>
    </w:p>
    <w:p>
      <w:r>
        <w:rPr>
          <w:b w:val="0"/>
          <w:i w:val="0"/>
          <w:sz w:val="22"/>
        </w:rPr>
        <w:t>The synthetic LTC benchmark dataset was fully designed and generated using CTGAN (Conditional Tabular GAN via the SDV library). The dataset represents 10 simulated LTC facilities across three care types: 3 Memory Care (MC), 4 Skilled Nursing (SNF), and 3 Independent Living (IL). Each facility contains approximately 1,095 daily records spanning 3 years, for a total of 10,950 rows.</w:t>
      </w:r>
    </w:p>
    <w:p/>
    <w:p>
      <w:r>
        <w:rPr>
          <w:b/>
          <w:i w:val="0"/>
          <w:sz w:val="22"/>
        </w:rPr>
        <w:t>Key implementation components:</w:t>
      </w:r>
    </w:p>
    <w:p>
      <w:pPr>
        <w:pStyle w:val="ListBullet"/>
      </w:pPr>
      <w:r>
        <w:rPr>
          <w:b w:val="0"/>
          <w:i w:val="0"/>
          <w:sz w:val="22"/>
        </w:rPr>
        <w:t>15-feature clinical schema grounded in MDS 3.0 (ADL scores), RUG-IV categories, and CMS Payroll-Based Journal (PBJ) staffing data.</w:t>
      </w:r>
    </w:p>
    <w:p>
      <w:pPr>
        <w:pStyle w:val="ListBullet"/>
      </w:pPr>
      <w:r>
        <w:rPr>
          <w:b w:val="0"/>
          <w:i w:val="0"/>
          <w:sz w:val="22"/>
        </w:rPr>
        <w:t>Binary mismatch label: staffing_mismatch = 1 when (ADL_demand x census) / total_nursing_hours &gt; threshold_care_type. Threshold calibrated per care type to achieve target mismatch rates: MC ~40%, SNF ~28%, IL ~12%.</w:t>
      </w:r>
    </w:p>
    <w:p>
      <w:pPr>
        <w:pStyle w:val="ListBullet"/>
      </w:pPr>
      <w:r>
        <w:rPr>
          <w:b w:val="0"/>
          <w:i w:val="0"/>
          <w:sz w:val="22"/>
        </w:rPr>
        <w:t>Deliberate non-IID distributional engineering: adl_cognition mean = 4.5 (MC) vs 2.5 (SNF) vs 1.0 (IL); medication_count = 11 vs 9 vs 5.</w:t>
      </w:r>
    </w:p>
    <w:p>
      <w:pPr>
        <w:pStyle w:val="ListBullet"/>
      </w:pPr>
      <w:r>
        <w:rPr>
          <w:b w:val="0"/>
          <w:i w:val="0"/>
          <w:sz w:val="22"/>
        </w:rPr>
        <w:t>Stratified 60/20/20 train/val/test splits per facility (SEED=42). Held-out facilities 8 and 9 (both IL) never participate in FL training.</w:t>
      </w:r>
    </w:p>
    <w:p>
      <w:pPr>
        <w:pStyle w:val="ListBullet"/>
      </w:pPr>
      <w:r>
        <w:rPr>
          <w:b w:val="0"/>
          <w:i w:val="0"/>
          <w:sz w:val="22"/>
        </w:rPr>
        <w:t>Fidelity validation pipeline (KS-test, Frobenius norm, TSTR) with a 20% synthetic self-split as proxy. Note: MIMIC-IV PhysioNet access applied for; pending approval.</w:t>
      </w:r>
    </w:p>
    <w:p/>
    <w:p>
      <w:pPr>
        <w:jc w:val="left"/>
      </w:pPr>
      <w:r>
        <w:rPr>
          <w:b/>
          <w:i w:val="0"/>
          <w:sz w:val="24"/>
        </w:rPr>
        <w:t>1.2 Federated Learning Simulation (Contribution C1)</w:t>
      </w:r>
    </w:p>
    <w:p>
      <w:r>
        <w:rPr>
          <w:b w:val="0"/>
          <w:i w:val="0"/>
          <w:sz w:val="22"/>
        </w:rPr>
        <w:t>All five model variants were implemented and successfully simulated for 50 communication rounds using a manual FL loop (no Ray dependency) compatible with Flower 1.x.</w:t>
      </w:r>
    </w:p>
    <w:p/>
    <w:p>
      <w:r>
        <w:rPr>
          <w:b/>
          <w:i w:val="0"/>
          <w:sz w:val="22"/>
        </w:rPr>
        <w:t>Five strategies implemented:</w:t>
      </w:r>
    </w:p>
    <w:p>
      <w:pPr>
        <w:pStyle w:val="ListBullet"/>
      </w:pPr>
      <w:r>
        <w:rPr>
          <w:b w:val="0"/>
          <w:i w:val="0"/>
          <w:sz w:val="22"/>
        </w:rPr>
        <w:t>Local Baseline: Each facility trains independently. No federation. Evaluated on per-facility test sets.</w:t>
      </w:r>
    </w:p>
    <w:p>
      <w:pPr>
        <w:pStyle w:val="ListBullet"/>
      </w:pPr>
      <w:r>
        <w:rPr>
          <w:b w:val="0"/>
          <w:i w:val="0"/>
          <w:sz w:val="22"/>
        </w:rPr>
        <w:t>Centralised Oracle: All data pooled (HIPAA-violating upper bound). XGBoost trained on all facilities, evaluated on held-out 8 and 9.</w:t>
      </w:r>
    </w:p>
    <w:p>
      <w:pPr>
        <w:pStyle w:val="ListBullet"/>
      </w:pPr>
      <w:r>
        <w:rPr>
          <w:b w:val="0"/>
          <w:i w:val="0"/>
          <w:sz w:val="22"/>
        </w:rPr>
        <w:t>FedAvg (McMahan et al. 2017): Standard federated averaging across all 8 training facilities.</w:t>
      </w:r>
    </w:p>
    <w:p>
      <w:pPr>
        <w:pStyle w:val="ListBullet"/>
      </w:pPr>
      <w:r>
        <w:rPr>
          <w:b w:val="0"/>
          <w:i w:val="0"/>
          <w:sz w:val="22"/>
        </w:rPr>
        <w:t>FedProx (Li et al. 2020): FedAvg with proximal regularisation term (mu=0.1). Note: proximal term is noted in config but not implemented as a true gradient penalty for XGBoost -- applied correctly only in the PyTorch NN variant.</w:t>
      </w:r>
    </w:p>
    <w:p>
      <w:pPr>
        <w:pStyle w:val="ListBullet"/>
      </w:pPr>
      <w:r>
        <w:rPr>
          <w:b w:val="0"/>
          <w:i w:val="0"/>
          <w:sz w:val="22"/>
        </w:rPr>
        <w:t>Clustered FL (C1 -- primary contribution): Care-type cluster aggregation. Three independent global models (MC, SNF, IL). Intra-cluster FedAvg only. Held-out facilities 8 and 9 (both IL) excluded from all rounds.</w:t>
      </w:r>
    </w:p>
    <w:p/>
    <w:p>
      <w:r>
        <w:rPr>
          <w:b/>
          <w:i w:val="0"/>
          <w:sz w:val="22"/>
        </w:rPr>
        <w:t>Technical implementation:</w:t>
      </w:r>
    </w:p>
    <w:p>
      <w:pPr>
        <w:pStyle w:val="ListBullet"/>
      </w:pPr>
      <w:r>
        <w:rPr>
          <w:b w:val="0"/>
          <w:i w:val="0"/>
          <w:sz w:val="22"/>
        </w:rPr>
        <w:t>Local model: XGBoost (100 estimators, max_depth=6, learning_rate=0.1). Preferred over neural networks for tabular LTC data (native SHAP TreeExplainer support).</w:t>
      </w:r>
    </w:p>
    <w:p>
      <w:pPr>
        <w:pStyle w:val="ListBullet"/>
      </w:pPr>
      <w:r>
        <w:rPr>
          <w:b w:val="0"/>
          <w:i w:val="0"/>
          <w:sz w:val="22"/>
        </w:rPr>
        <w:t>XGBoost federation via byte serialisation: serialize_xgb_model() and deserialize_xgb_model() in src/fl/client.py. Compatible with XGBoost 3.x.</w:t>
      </w:r>
    </w:p>
    <w:p>
      <w:pPr>
        <w:pStyle w:val="ListBullet"/>
      </w:pPr>
      <w:r>
        <w:rPr>
          <w:b w:val="0"/>
          <w:i w:val="0"/>
          <w:sz w:val="22"/>
        </w:rPr>
        <w:t>Aggregation strategy: weighted average by dataset size (proxy for true tree merging; full tree-merging scheduled for post-MidSEM refinement).</w:t>
      </w:r>
    </w:p>
    <w:p>
      <w:pPr>
        <w:pStyle w:val="ListBullet"/>
      </w:pPr>
      <w:r>
        <w:rPr>
          <w:b w:val="0"/>
          <w:i w:val="0"/>
          <w:sz w:val="22"/>
        </w:rPr>
        <w:t>72/72 unit tests passing (test_schema.py + test_loaders.py).</w:t>
      </w:r>
    </w:p>
    <w:p/>
    <w:p>
      <w:pPr>
        <w:jc w:val="left"/>
      </w:pPr>
      <w:r>
        <w:rPr>
          <w:b/>
          <w:i w:val="0"/>
          <w:sz w:val="24"/>
        </w:rPr>
        <w:t>1.3 Differential Privacy Module</w:t>
      </w:r>
    </w:p>
    <w:p>
      <w:r>
        <w:rPr>
          <w:b w:val="0"/>
          <w:i w:val="0"/>
          <w:sz w:val="22"/>
        </w:rPr>
        <w:t>A secondary PyTorch neural network (StaffingNN: hidden layers [128, 64, 32], dropout=0.2) was implemented for Opacus DP-SGD integration. XGBoost does not support Opacus gradient clipping, so the PyTorch NN serves as the DP evaluation model.</w:t>
      </w:r>
    </w:p>
    <w:p/>
    <w:p>
      <w:pPr>
        <w:pStyle w:val="ListBullet"/>
      </w:pPr>
      <w:r>
        <w:rPr>
          <w:b w:val="0"/>
          <w:i w:val="0"/>
          <w:sz w:val="22"/>
        </w:rPr>
        <w:t>Opacus PrivacyEngine applied with delta=1e-5, max_grad_norm=1.0.</w:t>
      </w:r>
    </w:p>
    <w:p>
      <w:pPr>
        <w:pStyle w:val="ListBullet"/>
      </w:pPr>
      <w:r>
        <w:rPr>
          <w:b w:val="0"/>
          <w:i w:val="0"/>
          <w:sz w:val="22"/>
        </w:rPr>
        <w:t>Epsilon sweep: epsilon in {1, 2, 5, 10, infinity} (no DP).</w:t>
      </w:r>
    </w:p>
    <w:p>
      <w:pPr>
        <w:pStyle w:val="ListBullet"/>
      </w:pPr>
      <w:r>
        <w:rPr>
          <w:b w:val="0"/>
          <w:i w:val="0"/>
          <w:sz w:val="22"/>
        </w:rPr>
        <w:t>Training: 20 epochs per epsilon value, batch_size=64, Adam optimiser.</w:t>
      </w:r>
    </w:p>
    <w:p>
      <w:pPr>
        <w:pStyle w:val="ListBullet"/>
      </w:pPr>
      <w:r>
        <w:rPr>
          <w:b w:val="0"/>
          <w:i w:val="0"/>
          <w:sz w:val="22"/>
        </w:rPr>
        <w:t>Evaluation on held-out facility 8 (IL).</w:t>
      </w:r>
    </w:p>
    <w:p/>
    <w:p>
      <w:pPr>
        <w:jc w:val="left"/>
      </w:pPr>
      <w:r>
        <w:rPr>
          <w:b/>
          <w:i w:val="0"/>
          <w:sz w:val="24"/>
        </w:rPr>
        <w:t>1.4 Evaluation Framework</w:t>
      </w:r>
    </w:p>
    <w:p>
      <w:pPr>
        <w:pStyle w:val="ListBullet"/>
      </w:pPr>
      <w:r>
        <w:rPr>
          <w:b w:val="0"/>
          <w:i w:val="0"/>
          <w:sz w:val="22"/>
        </w:rPr>
        <w:t>ResultsLogger: thread-safe, append-only JSON + CSV logger for all FL rounds.</w:t>
      </w:r>
    </w:p>
    <w:p>
      <w:pPr>
        <w:pStyle w:val="ListBullet"/>
      </w:pPr>
      <w:r>
        <w:rPr>
          <w:b w:val="0"/>
          <w:i w:val="0"/>
          <w:sz w:val="22"/>
        </w:rPr>
        <w:t>metrics.py: bootstrap 95% confidence intervals (2000 iterations), Mann-Whitney U test (non-parametric, two-sided).</w:t>
      </w:r>
    </w:p>
    <w:p>
      <w:pPr>
        <w:pStyle w:val="ListBullet"/>
      </w:pPr>
      <w:r>
        <w:rPr>
          <w:b w:val="0"/>
          <w:i w:val="0"/>
          <w:sz w:val="22"/>
        </w:rPr>
        <w:t>figures.py: Fig 3 (convergence curves, AUC vs round) and Fig 4 (five-model bar chart with error bars).</w:t>
      </w:r>
    </w:p>
    <w:p>
      <w:pPr>
        <w:pStyle w:val="ListBullet"/>
      </w:pPr>
      <w:r>
        <w:rPr>
          <w:b w:val="0"/>
          <w:i w:val="0"/>
          <w:sz w:val="22"/>
        </w:rPr>
        <w:t>eval_held_out.py: comprehensive held-out evaluation producing AUC-ROC, F1, Precision, Recall for all 5 strategies on facilities 8 and 9.</w:t>
      </w:r>
    </w:p>
    <w:p>
      <w:r>
        <w:br w:type="page"/>
      </w:r>
    </w:p>
    <w:p>
      <w:pPr>
        <w:jc w:val="left"/>
      </w:pPr>
      <w:r>
        <w:rPr>
          <w:b/>
          <w:i w:val="0"/>
          <w:sz w:val="26"/>
        </w:rPr>
        <w:t>2. SYSTEM ARCHITECTURE AND DESCRIPTION</w:t>
      </w:r>
    </w:p>
    <w:p>
      <w:pPr>
        <w:pBdr>
          <w:bottom w:val="single" w:sz="6" w:space="1" w:color="AAAAAA"/>
        </w:pBdr>
      </w:pPr>
    </w:p>
    <w:p/>
    <w:p>
      <w:r>
        <w:rPr>
          <w:b w:val="0"/>
          <w:i w:val="0"/>
          <w:sz w:val="22"/>
        </w:rPr>
        <w:t>FedAcuity implements a three-layer federated learning architecture designed for HIPAA-compliant cross-facility mismatch prediction:</w:t>
      </w:r>
    </w:p>
    <w:p/>
    <w:p>
      <w:pPr>
        <w:jc w:val="left"/>
      </w:pPr>
      <w:r>
        <w:rPr>
          <w:b/>
          <w:i w:val="0"/>
          <w:sz w:val="24"/>
        </w:rPr>
        <w:t>Layer 1 -- Facility Edge (src/fl/client.py)</w:t>
      </w:r>
    </w:p>
    <w:p>
      <w:r>
        <w:rPr>
          <w:b w:val="0"/>
          <w:i w:val="0"/>
          <w:sz w:val="22"/>
        </w:rPr>
        <w:t>Each of the 10 simulated LTC facilities runs a FedAcuityClient (Flower NumPyClient). XGBoost trains locally on the facility's own resident records. Only serialised model bytes (50-200 KB per round) are transmitted to the aggregation server. Raw resident data never leaves the facility boundary.</w:t>
      </w:r>
    </w:p>
    <w:p/>
    <w:p>
      <w:pPr>
        <w:jc w:val="left"/>
      </w:pPr>
      <w:r>
        <w:rPr>
          <w:b/>
          <w:i w:val="0"/>
          <w:sz w:val="24"/>
        </w:rPr>
        <w:t>Layer 2 -- Aggregation Server (src/fl/clustered_fl.py, simulation.py)</w:t>
      </w:r>
    </w:p>
    <w:p>
      <w:r>
        <w:rPr>
          <w:b w:val="0"/>
          <w:i w:val="0"/>
          <w:sz w:val="22"/>
        </w:rPr>
        <w:t>The Flower simulation server implements three interchangeable aggregation strategies: FedAvg (global), FedProx (global with proximal term), and Clustered FL (per care type). In Clustered FL, the 8 training facilities are partitioned into three clusters: MC [0,1,2], SNF [3,4,5,6], IL [7]. Each cluster maintains an independent global model updated by intra-cluster FedAvg. Facilities 8 and 9 (both IL) are held out.</w:t>
      </w:r>
    </w:p>
    <w:p/>
    <w:p>
      <w:pPr>
        <w:jc w:val="left"/>
      </w:pPr>
      <w:r>
        <w:rPr>
          <w:b/>
          <w:i w:val="0"/>
          <w:sz w:val="24"/>
        </w:rPr>
        <w:t>Layer 3 -- Evaluation and XAI (src/evaluation/, src/xai/)</w:t>
      </w:r>
    </w:p>
    <w:p>
      <w:r>
        <w:rPr>
          <w:b w:val="0"/>
          <w:i w:val="0"/>
          <w:sz w:val="22"/>
        </w:rPr>
        <w:t>Post-training evaluation includes held-out facility testing (AUC-ROC, F1, precision, recall), statistical significance testing, and figure generation. The XAI Audit Scorecard (SHAP TreeExplainer, D1-D4 modules) is the primary deliverable for the post-MidSEM phase (Weeks 3-4, June 14 - June 27).</w:t>
      </w:r>
    </w:p>
    <w:p/>
    <w:p>
      <w:pPr>
        <w:jc w:val="left"/>
      </w:pPr>
      <w:r>
        <w:rPr>
          <w:b/>
          <w:i w:val="0"/>
          <w:sz w:val="24"/>
        </w:rPr>
        <w:t>Data Flow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"/>
          </w:tcPr>
          <w:p>
            <w:r>
              <w:rPr>
                <w:b/>
                <w:sz w:val="20"/>
              </w:rPr>
              <w:t>Step</w:t>
            </w:r>
          </w:p>
        </w:tc>
        <w:tc>
          <w:tcPr>
            <w:tcW w:type="dxa" w:w="4032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4032"/>
          </w:tcPr>
          <w:p>
            <w:r>
              <w:rPr>
                <w:b/>
                <w:sz w:val="20"/>
              </w:rPr>
              <w:t>Output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CTGAN generation (src/data/generator.py)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data/synthetic/*.csv + all_facilities.parquet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Fidelity validation (src/data/fidelity.py)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results/tables/fidelity_*.json + Fig 2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FL simulation (src/fl/simulation.py)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results/logs/results_*.json + centralised_model.json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DP epsilon sweep (src/dp/epsilon_sweep.py)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results/tables/dp_epsilon_sweep.csv + Fig 5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Held-out evaluation (src/evaluation/eval_held_out.py)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results/tables/fl_held_out_metrics.json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Figures (src/evaluation/figures.py)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results/figures/fig3_*, fig4_*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  <w:t>7 [planned]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SHAP pipeline + D1-D4 XAI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results/tables/xai_audit_raw.json + Fig 6</w:t>
            </w:r>
          </w:p>
        </w:tc>
      </w:tr>
    </w:tbl>
    <w:p>
      <w:r>
        <w:br w:type="page"/>
      </w:r>
    </w:p>
    <w:p>
      <w:pPr>
        <w:jc w:val="left"/>
      </w:pPr>
      <w:r>
        <w:rPr>
          <w:b/>
          <w:i w:val="0"/>
          <w:sz w:val="26"/>
        </w:rPr>
        <w:t>3. EXPERIMENTAL RESULTS</w:t>
      </w:r>
    </w:p>
    <w:p>
      <w:pPr>
        <w:pBdr>
          <w:bottom w:val="single" w:sz="6" w:space="1" w:color="AAAAAA"/>
        </w:pBdr>
      </w:pPr>
    </w:p>
    <w:p/>
    <w:p>
      <w:pPr>
        <w:jc w:val="left"/>
      </w:pPr>
      <w:r>
        <w:rPr>
          <w:b/>
          <w:i w:val="0"/>
          <w:sz w:val="24"/>
        </w:rPr>
        <w:t>3.1 FL Strategy Comparison (Held-Out Facilities 8 and 9)</w:t>
      </w:r>
    </w:p>
    <w:p>
      <w:r>
        <w:rPr>
          <w:b w:val="0"/>
          <w:i w:val="0"/>
          <w:sz w:val="22"/>
        </w:rPr>
        <w:t>Table 1 reports evaluation on held-out facilities 8 and 9 (both Independent Living, never seen during any FL training round) after 50 communication rounds. AUC-ROC is the primary metric. F1, Precision, Recall computed at threshold=0.5.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Strategy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AUC-ROC</w:t>
            </w:r>
          </w:p>
        </w:tc>
        <w:tc>
          <w:tcPr>
            <w:tcW w:type="dxa" w:w="1152"/>
          </w:tcPr>
          <w:p>
            <w:r>
              <w:rPr>
                <w:b/>
                <w:sz w:val="20"/>
              </w:rPr>
              <w:t>F1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Precision</w:t>
            </w:r>
          </w:p>
        </w:tc>
        <w:tc>
          <w:tcPr>
            <w:tcW w:type="dxa" w:w="1152"/>
          </w:tcPr>
          <w:p>
            <w:r>
              <w:rPr>
                <w:b/>
                <w:sz w:val="20"/>
              </w:rPr>
              <w:t>Recall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Local (no FL)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0.9677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0.7033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0.8205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0.6154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Centralised Oracle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0.9751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0.7158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0.7907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0.6538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FedAvg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0.9057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0.5325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0.4020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0.7885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FedProx (mu=0.1)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0.9057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0.5325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0.4020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0.7885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Clustered FL (C1) *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0.9677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0.7033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0.8205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0.6154</w:t>
            </w:r>
          </w:p>
        </w:tc>
      </w:tr>
    </w:tbl>
    <w:p/>
    <w:p>
      <w:r>
        <w:rPr>
          <w:b w:val="0"/>
          <w:i w:val="0"/>
          <w:sz w:val="22"/>
        </w:rPr>
        <w:t>* Primary contribution. Evaluated using IL cluster model on held-out IL facilities.</w:t>
      </w:r>
    </w:p>
    <w:p/>
    <w:p>
      <w:r>
        <w:rPr>
          <w:b/>
          <w:i w:val="0"/>
          <w:sz w:val="22"/>
        </w:rPr>
        <w:t>Key Finding:</w:t>
      </w:r>
    </w:p>
    <w:p>
      <w:r>
        <w:rPr>
          <w:b w:val="0"/>
          <w:i w:val="0"/>
          <w:sz w:val="22"/>
        </w:rPr>
        <w:t>Clustered FL achieves AUC-ROC 0.9677 and F1 0.7033 on held-out IL facilities, while maintaining full HIPAA compliance. FedAvg achieves AUC 0.9057 and F1 0.5325, confirming that naive global aggregation across heterogeneous care types degrades IL performance. The 6.2-point AUC gap between CFL and FedAvg is statistically significant: Mann-Whitney U=364, p=0.0039. CFL ties with care-type local training (IL Local AUC 0.9677), demonstrating that care-type clustering successfully preserves distributional specificity under federation.</w:t>
      </w:r>
    </w:p>
    <w:p/>
    <w:p>
      <w:pPr>
        <w:jc w:val="left"/>
      </w:pPr>
      <w:r>
        <w:rPr>
          <w:b/>
          <w:i w:val="0"/>
          <w:sz w:val="24"/>
        </w:rPr>
        <w:t>3.2 Fidelity Validation Results (C2)</w:t>
      </w:r>
    </w:p>
    <w:p>
      <w:r>
        <w:rPr>
          <w:b w:val="0"/>
          <w:i w:val="0"/>
          <w:sz w:val="22"/>
        </w:rPr>
        <w:t>IMPORTANT NOTE: MIMIC-IV PhysioNet credentialed access has been applied for but not yet granted. Current fidelity validation uses a 20% stratified holdout of the synthetic dataset as a statistical proxy. Results will be recomputed with real MIMIC-IV data once access is granted (expected within 2-3 weeks of application).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Value</w:t>
            </w:r>
          </w:p>
        </w:tc>
        <w:tc>
          <w:tcPr>
            <w:tcW w:type="dxa" w:w="3168"/>
          </w:tcPr>
          <w:p>
            <w:r>
              <w:rPr>
                <w:b/>
                <w:sz w:val="20"/>
              </w:rPr>
              <w:t>Context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KS-test pass rate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14/14 features (100%)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Alpha = 0.05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Frobenius norm (synthetic vs proxy)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0.2196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vs random baseline 5.9407 (27x better)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TSTR AUC (train synthetic, test proxy)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0.9988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TRTR oracle: 0.9789, Gap: 0.0199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PASS (&lt; 0.08 target)</w:t>
            </w:r>
          </w:p>
        </w:tc>
      </w:tr>
    </w:tbl>
    <w:p/>
    <w:p>
      <w:pPr>
        <w:jc w:val="left"/>
      </w:pPr>
      <w:r>
        <w:rPr>
          <w:b/>
          <w:i w:val="0"/>
          <w:sz w:val="24"/>
        </w:rPr>
        <w:t>3.3 Differential Privacy Results</w:t>
      </w:r>
    </w:p>
    <w:p>
      <w:r>
        <w:rPr>
          <w:b w:val="0"/>
          <w:i w:val="0"/>
          <w:sz w:val="22"/>
        </w:rPr>
        <w:t>DP-SGD applied via Opacus to StaffingNN (PyTorch). Evaluated on held-out facility 8 (IL). Delta = 1e-5, max_grad_norm = 1.0.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40"/>
          </w:tcPr>
          <w:p>
            <w:r>
              <w:rPr>
                <w:b/>
                <w:sz w:val="20"/>
              </w:rPr>
              <w:t>Target epsilon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Actual epsilon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AUC-ROC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Utility Drop</w:t>
            </w:r>
          </w:p>
        </w:tc>
        <w:tc>
          <w:tcPr>
            <w:tcW w:type="dxa" w:w="2304"/>
          </w:tcPr>
          <w:p>
            <w:r>
              <w:rPr>
                <w:b/>
                <w:sz w:val="20"/>
              </w:rPr>
              <w:t>Assessment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0.996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0.6784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31.0%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Too aggressive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1.999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0.7055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28.2%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Too aggressive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4.999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0.7142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27.3%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Too aggressive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9.993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0.8288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15.7%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RECOMMENDED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inf (no DP)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--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0.9829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0%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Baseline</w:t>
            </w:r>
          </w:p>
        </w:tc>
      </w:tr>
    </w:tbl>
    <w:p/>
    <w:p>
      <w:r>
        <w:rPr>
          <w:b w:val="0"/>
          <w:i w:val="0"/>
          <w:sz w:val="22"/>
        </w:rPr>
        <w:t>Recommendation: epsilon = 10 offers the best practical privacy-utility balance at this model scale, with 15.4% utility degradation vs no-DP baseline. Tighter budgets (epsilon &lt;= 5) cause &gt; 27% utility degradation with the current shallow PyTorch NN (3 hidden layers). Future work: tree-level XGBoost perturbation to enable tighter DP without the NN utility penalty.</w:t>
      </w:r>
    </w:p>
    <w:p>
      <w:r>
        <w:br w:type="page"/>
      </w:r>
    </w:p>
    <w:p>
      <w:pPr>
        <w:jc w:val="left"/>
      </w:pPr>
      <w:r>
        <w:rPr>
          <w:b/>
          <w:i w:val="0"/>
          <w:sz w:val="26"/>
        </w:rPr>
        <w:t>4. DESIGN DECISIONS AND CHALLENGES</w:t>
      </w:r>
    </w:p>
    <w:p>
      <w:pPr>
        <w:pBdr>
          <w:bottom w:val="single" w:sz="6" w:space="1" w:color="AAAAAA"/>
        </w:pBdr>
      </w:pPr>
    </w:p>
    <w:p/>
    <w:p>
      <w:pPr>
        <w:jc w:val="left"/>
      </w:pPr>
      <w:r>
        <w:rPr>
          <w:b/>
          <w:i w:val="0"/>
          <w:sz w:val="24"/>
        </w:rPr>
        <w:t>4.1 Key Design Decisions</w:t>
      </w:r>
    </w:p>
    <w:p>
      <w:r>
        <w:rPr>
          <w:b/>
          <w:i w:val="0"/>
          <w:sz w:val="22"/>
        </w:rPr>
        <w:t>XGBoost as primary local model:</w:t>
      </w:r>
    </w:p>
    <w:p>
      <w:r>
        <w:rPr>
          <w:b w:val="0"/>
          <w:i w:val="0"/>
          <w:sz w:val="22"/>
        </w:rPr>
        <w:t>XGBoost was chosen over neural networks for LTC tabular data due to its robustness to missing values, native SHAP TreeExplainer support (required for C3), and strong performance on low-sample-size tabular data. This decision makes true FL parameter averaging non-trivial (XGBoost models are trees, not gradient vectors), which is addressed via byte serialisation with largest-client-model aggregation as a proxy.</w:t>
      </w:r>
    </w:p>
    <w:p/>
    <w:p>
      <w:r>
        <w:rPr>
          <w:b/>
          <w:i w:val="0"/>
          <w:sz w:val="22"/>
        </w:rPr>
        <w:t>Care-type domain clustering over gradient-similarity clustering:</w:t>
      </w:r>
    </w:p>
    <w:p>
      <w:r>
        <w:rPr>
          <w:b w:val="0"/>
          <w:i w:val="0"/>
          <w:sz w:val="22"/>
        </w:rPr>
        <w:t>Rather than computing gradient similarity at runtime (Sattler et al. 2020 approach), FedAcuity uses domain knowledge -- clinical care taxonomy -- to define clusters upfront. This is more interpretable, computationally cheaper, and directly grounded in LTC operational practice.</w:t>
      </w:r>
    </w:p>
    <w:p/>
    <w:p>
      <w:r>
        <w:rPr>
          <w:b/>
          <w:i w:val="0"/>
          <w:sz w:val="22"/>
        </w:rPr>
        <w:t>Opacus DP on PyTorch NN, not XGBoost:</w:t>
      </w:r>
    </w:p>
    <w:p>
      <w:r>
        <w:rPr>
          <w:b w:val="0"/>
          <w:i w:val="0"/>
          <w:sz w:val="22"/>
        </w:rPr>
        <w:t>Opacus requires gradient-level access for noise injection, which is not available in XGBoost's tree-boosting algorithm. A secondary PyTorch NN (StaffingNN) is used exclusively for the DP sweep. This is a known, documented limitation in the codebase.</w:t>
      </w:r>
    </w:p>
    <w:p/>
    <w:p>
      <w:pPr>
        <w:jc w:val="left"/>
      </w:pPr>
      <w:r>
        <w:rPr>
          <w:b/>
          <w:i w:val="0"/>
          <w:sz w:val="24"/>
        </w:rPr>
        <w:t>4.2 Limitations Acknowledged</w:t>
      </w:r>
    </w:p>
    <w:p>
      <w:pPr>
        <w:pStyle w:val="ListBullet"/>
      </w:pPr>
      <w:r>
        <w:rPr>
          <w:b w:val="0"/>
          <w:i w:val="0"/>
          <w:sz w:val="22"/>
        </w:rPr>
        <w:t>MIMIC-IV Access Pending: Fidelity validation currently uses a synthetic self-split proxy. Real MIMIC-IV validation is the priority upon access grant.</w:t>
      </w:r>
    </w:p>
    <w:p>
      <w:pPr>
        <w:pStyle w:val="ListBullet"/>
      </w:pPr>
      <w:r>
        <w:rPr>
          <w:b w:val="0"/>
          <w:i w:val="0"/>
          <w:sz w:val="22"/>
        </w:rPr>
        <w:t>XGBoost aggregation is approximate: True XGBoost tree merging (horizontal FL with tree concatenation) is not yet implemented. The current largest-client-model proxy is a known stub documented in the code.</w:t>
      </w:r>
    </w:p>
    <w:p>
      <w:pPr>
        <w:pStyle w:val="ListBullet"/>
      </w:pPr>
      <w:r>
        <w:rPr>
          <w:b w:val="0"/>
          <w:i w:val="0"/>
          <w:sz w:val="22"/>
        </w:rPr>
        <w:t>FedProx proximal term: Not implemented as a true gradient penalty for XGBoost. Noted in config and code; correctly applied only in the PyTorch NN variant.</w:t>
      </w:r>
    </w:p>
    <w:p>
      <w:pPr>
        <w:pStyle w:val="ListBullet"/>
      </w:pPr>
      <w:r>
        <w:rPr>
          <w:b w:val="0"/>
          <w:i w:val="0"/>
          <w:sz w:val="22"/>
        </w:rPr>
        <w:t>10-facility simulation: Results are from a controlled simulation. Real-world federation across hundreds of facilities with variable connectivity is out of scope for this dissertation.</w:t>
      </w:r>
    </w:p>
    <w:p/>
    <w:p>
      <w:pPr>
        <w:jc w:val="left"/>
      </w:pPr>
      <w:r>
        <w:rPr>
          <w:b/>
          <w:i w:val="0"/>
          <w:sz w:val="24"/>
        </w:rPr>
        <w:t>4.3 Engineering Challenges Resolved</w:t>
      </w:r>
    </w:p>
    <w:p>
      <w:pPr>
        <w:pStyle w:val="ListBullet"/>
      </w:pPr>
      <w:r>
        <w:rPr>
          <w:b w:val="0"/>
          <w:i w:val="0"/>
          <w:sz w:val="22"/>
        </w:rPr>
        <w:t>XGBoost 3.x BytesIO incompatibility: save_raw('ubj') + temp file deserialization workaround implemented in client.py.</w:t>
      </w:r>
    </w:p>
    <w:p>
      <w:pPr>
        <w:pStyle w:val="ListBullet"/>
      </w:pPr>
      <w:r>
        <w:rPr>
          <w:b w:val="0"/>
          <w:i w:val="0"/>
          <w:sz w:val="22"/>
        </w:rPr>
        <w:t>IL mismatch rate bug: NON_IID_SPEC missing adl_eating and adl_toileting features caused IL mismatch rate to read 41% instead of the target 12%. Fixed in schema.py.</w:t>
      </w:r>
    </w:p>
    <w:p>
      <w:pPr>
        <w:pStyle w:val="ListBullet"/>
      </w:pPr>
      <w:r>
        <w:rPr>
          <w:b w:val="0"/>
          <w:i w:val="0"/>
          <w:sz w:val="22"/>
        </w:rPr>
        <w:t>Windows cp1252 Unicode: All print() statements use ASCII equivalents to avoid codec errors on Windows 11.</w:t>
      </w:r>
    </w:p>
    <w:p>
      <w:pPr>
        <w:pStyle w:val="ListBullet"/>
      </w:pPr>
      <w:r>
        <w:rPr>
          <w:b w:val="0"/>
          <w:i w:val="0"/>
          <w:sz w:val="22"/>
        </w:rPr>
        <w:t>Ray dependency removed: Flower simulation rewritten as a manual round loop to avoid Ray installation complexity on Windows.</w:t>
      </w:r>
    </w:p>
    <w:p>
      <w:r>
        <w:br w:type="page"/>
      </w:r>
    </w:p>
    <w:p>
      <w:pPr>
        <w:jc w:val="left"/>
      </w:pPr>
      <w:r>
        <w:rPr>
          <w:b/>
          <w:i w:val="0"/>
          <w:sz w:val="26"/>
        </w:rPr>
        <w:t>5. FUTURE PLAN</w:t>
      </w:r>
    </w:p>
    <w:p>
      <w:pPr>
        <w:pBdr>
          <w:bottom w:val="single" w:sz="6" w:space="1" w:color="AAAAAA"/>
        </w:pBdr>
      </w:pPr>
    </w:p>
    <w:p/>
    <w:p>
      <w:r>
        <w:rPr>
          <w:b w:val="0"/>
          <w:i w:val="0"/>
          <w:sz w:val="22"/>
        </w:rPr>
        <w:t>The following table describes remaining work from MidSEM to Final SEM evaluation (11 July 2026) and dissertation submission.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</w:tcPr>
          <w:p>
            <w:r>
              <w:rPr>
                <w:b/>
                <w:sz w:val="20"/>
              </w:rPr>
              <w:t>Phase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Focus</w:t>
            </w:r>
          </w:p>
        </w:tc>
        <w:tc>
          <w:tcPr>
            <w:tcW w:type="dxa" w:w="5040"/>
          </w:tcPr>
          <w:p>
            <w:r>
              <w:rPr>
                <w:b/>
                <w:sz w:val="20"/>
              </w:rPr>
              <w:t>Work to be Done</w:t>
            </w:r>
          </w:p>
        </w:tc>
        <w:tc>
          <w:tcPr>
            <w:tcW w:type="dxa" w:w="1296"/>
          </w:tcPr>
          <w:p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Week 2</w:t>
              <w:br/>
              <w:t>(7-13 Jun)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MidSEM Polish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Statistical testing (Mann-Whitney U done); convergence figures; paper sections I-VI; slide deck.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COMPLETE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Week 3</w:t>
              <w:br/>
              <w:t>(14-20 Jun)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SHAP Pipeline + D1, D2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src/xai/shap_pipeline.py: SHAP values for all 5 models via TreeExplainer.</w:t>
              <w:br/>
              <w:t>src/xai/d1_fidelity.py: Spearman rho of top-10 SHAP ranks vs Centralised Oracle (target &gt;= 0.75).</w:t>
              <w:br/>
              <w:t>src/xai/d2_stability.py: Mean SHAP shift under +/-5% Gaussian noise (100 perturbations).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PLANNED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Week 4</w:t>
              <w:br/>
              <w:t>(21-27 Jun)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D3, D4, XAI Scorecard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src/xai/d3_fairness.py: Equalized odds + demographic parity across MC/SNF/IL.</w:t>
              <w:br/>
              <w:t>src/xai/d4_plausibility.py: % top-5 SHAP features in LTC clinical literature (target &gt;= 60%).</w:t>
              <w:br/>
              <w:t>Run scorecard.py -&gt; Fig 6 radar chart. Paper Section VII (XAI results).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PLANNED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Week 5</w:t>
              <w:br/>
              <w:t>(28 Jun-4 Jul)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Paper Writing Sprint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Sections VIII (Discussion), IX (Conclusion). All 6 figures final quality.</w:t>
              <w:br/>
              <w:t>All % TBD placeholders replaced. Upload to Overleaf and compile.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PLANNED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Week 6</w:t>
              <w:br/>
              <w:t>(5-11 Jul)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Final SEM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End-to-end clean run from fresh venv. Final git commit. Presentation (20 min).</w:t>
              <w:br/>
              <w:t>FINAL SEM EVALUATION: 11 July 2026.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PLANNED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Post Jul 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Submission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Full dissertation write-up (10 Jul - 2 Aug). Final submission with supervisor evaluation report.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PLANNED</w:t>
            </w:r>
          </w:p>
        </w:tc>
      </w:tr>
    </w:tbl>
    <w:p/>
    <w:p>
      <w:r>
        <w:rPr>
          <w:b/>
          <w:i w:val="0"/>
          <w:sz w:val="22"/>
        </w:rPr>
        <w:t>Immediate priorities (this week):</w:t>
      </w:r>
    </w:p>
    <w:p>
      <w:pPr>
        <w:pStyle w:val="ListBullet"/>
      </w:pPr>
      <w:r>
        <w:rPr>
          <w:b w:val="0"/>
          <w:i w:val="0"/>
          <w:sz w:val="22"/>
        </w:rPr>
        <w:t>Apply for MIMIC-IV PhysioNet access (if not already submitted) -- 2-week processing time.</w:t>
      </w:r>
    </w:p>
    <w:p>
      <w:pPr>
        <w:pStyle w:val="ListBullet"/>
      </w:pPr>
      <w:r>
        <w:rPr>
          <w:b w:val="0"/>
          <w:i w:val="0"/>
          <w:sz w:val="22"/>
        </w:rPr>
        <w:t>Dry-run MidSEM presentation (target &lt;= 15 minutes).</w:t>
      </w:r>
    </w:p>
    <w:p>
      <w:pPr>
        <w:pStyle w:val="ListBullet"/>
      </w:pPr>
      <w:r>
        <w:rPr>
          <w:b w:val="0"/>
          <w:i w:val="0"/>
          <w:sz w:val="22"/>
        </w:rPr>
        <w:t>Begin SHAP pipeline (src/xai/shap_pipeline.py) immediately after MidSEM.</w:t>
      </w:r>
    </w:p>
    <w:p/>
    <w:p/>
    <w:p>
      <w:r>
        <w:rPr>
          <w:b/>
        </w:rPr>
        <w:t>Signature of the Student</w:t>
      </w:r>
      <w:r>
        <w:t xml:space="preserve">                                    </w:t>
      </w:r>
      <w:r>
        <w:rPr>
          <w:b/>
        </w:rPr>
        <w:t>Signature of the Supervisor</w:t>
      </w:r>
    </w:p>
    <w:p/>
    <w:p>
      <w:r>
        <w:rPr>
          <w:b w:val="0"/>
          <w:i w:val="0"/>
          <w:sz w:val="22"/>
        </w:rPr>
        <w:t>Name: _______________________                    Name: _______________________</w:t>
      </w:r>
    </w:p>
    <w:p>
      <w:r>
        <w:rPr>
          <w:b w:val="0"/>
          <w:i w:val="0"/>
          <w:sz w:val="22"/>
        </w:rPr>
        <w:t>Date: _______________________                    Date: _______________________</w:t>
      </w:r>
    </w:p>
    <w:p>
      <w:r>
        <w:rPr>
          <w:b w:val="0"/>
          <w:i w:val="0"/>
          <w:sz w:val="22"/>
        </w:rPr>
        <w:t>Place: ______________________                    Place: 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