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80" w:line="240" w:lineRule="auto"/>
        <w:jc w:val="center"/>
      </w:pPr>
      <w:r>
        <w:rPr>
          <w:rFonts w:ascii="Times New Roman" w:hAnsi="Times New Roman" w:eastAsia="Times New Roman"/>
          <w:b w:val="0"/>
          <w:i w:val="0"/>
          <w:color w:val="000000"/>
          <w:sz w:val="28"/>
        </w:rPr>
        <w:t>Report</w:t>
      </w:r>
    </w:p>
    <w:p>
      <w:pPr>
        <w:spacing w:before="0" w:after="40" w:line="240" w:lineRule="auto"/>
        <w:jc w:val="center"/>
      </w:pPr>
      <w:r>
        <w:rPr>
          <w:rFonts w:ascii="Times New Roman" w:hAnsi="Times New Roman" w:eastAsia="Times New Roman"/>
          <w:b w:val="0"/>
          <w:i w:val="0"/>
          <w:color w:val="000000"/>
          <w:sz w:val="32"/>
        </w:rPr>
        <w:t>Of</w:t>
      </w:r>
    </w:p>
    <w:p>
      <w:pPr>
        <w:spacing w:before="0" w:after="440" w:line="252" w:lineRule="auto"/>
        <w:jc w:val="center"/>
      </w:pPr>
      <w:r>
        <w:rPr>
          <w:rFonts w:ascii="Times New Roman" w:hAnsi="Times New Roman" w:eastAsia="Times New Roman"/>
          <w:b/>
          <w:i w:val="0"/>
          <w:color w:val="000000"/>
          <w:sz w:val="32"/>
        </w:rPr>
        <w:t>PraDCT and PrakritM2M:</w:t>
        <w:br/>
        <w:t>Directional Checkpoint Transfer for</w:t>
        <w:br/>
        <w:t>Low-Resource Prakrit-English</w:t>
        <w:br/>
        <w:t>Neural Machine Translation</w:t>
      </w:r>
    </w:p>
    <w:p>
      <w:pPr>
        <w:spacing w:before="0" w:after="40" w:line="240" w:lineRule="auto"/>
        <w:jc w:val="center"/>
      </w:pPr>
      <w:r>
        <w:rPr>
          <w:rFonts w:ascii="Times New Roman" w:hAnsi="Times New Roman" w:eastAsia="Times New Roman"/>
          <w:b w:val="0"/>
          <w:i w:val="0"/>
          <w:color w:val="000000"/>
          <w:sz w:val="24"/>
        </w:rPr>
        <w:t>Submitted</w:t>
      </w:r>
    </w:p>
    <w:p>
      <w:pPr>
        <w:spacing w:before="0" w:after="120" w:line="240" w:lineRule="auto"/>
        <w:jc w:val="center"/>
      </w:pPr>
      <w:r>
        <w:rPr>
          <w:rFonts w:ascii="Times New Roman" w:hAnsi="Times New Roman" w:eastAsia="Times New Roman"/>
          <w:b w:val="0"/>
          <w:i w:val="0"/>
          <w:color w:val="000000"/>
          <w:sz w:val="24"/>
        </w:rPr>
        <w:t>To</w:t>
      </w:r>
    </w:p>
    <w:p>
      <w:pPr>
        <w:spacing w:before="0" w:after="40" w:line="240" w:lineRule="auto"/>
        <w:jc w:val="center"/>
      </w:pPr>
      <w:r>
        <w:rPr>
          <w:rFonts w:ascii="Times New Roman" w:hAnsi="Times New Roman" w:eastAsia="Times New Roman"/>
          <w:b w:val="0"/>
          <w:i w:val="0"/>
          <w:color w:val="000000"/>
          <w:sz w:val="24"/>
        </w:rPr>
        <w:t>School of Computer Science and Engineering</w:t>
      </w:r>
    </w:p>
    <w:p>
      <w:pPr>
        <w:spacing w:before="0" w:after="280" w:line="240" w:lineRule="auto"/>
        <w:jc w:val="center"/>
      </w:pPr>
      <w:r>
        <w:rPr>
          <w:rFonts w:ascii="Times New Roman" w:hAnsi="Times New Roman" w:eastAsia="Times New Roman"/>
          <w:b w:val="0"/>
          <w:i w:val="0"/>
          <w:color w:val="000000"/>
          <w:sz w:val="24"/>
        </w:rPr>
        <w:t>IILM University, Greater Noida, U.P.</w:t>
      </w:r>
    </w:p>
    <w:p>
      <w:pPr>
        <w:spacing w:before="0" w:after="80" w:line="240" w:lineRule="auto"/>
        <w:jc w:val="center"/>
      </w:pPr>
      <w:r>
        <w:rPr>
          <w:rFonts w:ascii="Times New Roman" w:hAnsi="Times New Roman" w:eastAsia="Times New Roman"/>
          <w:b w:val="0"/>
          <w:i w:val="0"/>
          <w:color w:val="000000"/>
          <w:sz w:val="24"/>
        </w:rPr>
        <w:t>In partial fulfilment of the requirement of degree of</w:t>
      </w:r>
    </w:p>
    <w:p>
      <w:pPr>
        <w:spacing w:before="0" w:after="160" w:line="240" w:lineRule="auto"/>
        <w:jc w:val="center"/>
      </w:pPr>
      <w:r>
        <w:rPr>
          <w:rFonts w:ascii="Times New Roman" w:hAnsi="Times New Roman" w:eastAsia="Times New Roman"/>
          <w:b w:val="0"/>
          <w:i w:val="0"/>
          <w:color w:val="000000"/>
          <w:sz w:val="24"/>
        </w:rPr>
        <w:t>B.Tech CSE</w:t>
      </w:r>
    </w:p>
    <w:p>
      <w:pPr>
        <w:spacing w:before="40" w:after="160"/>
        <w:jc w:val="center"/>
      </w:pPr>
      <w:r>
        <w:rPr>
          <w:rFonts w:ascii="Times New Roman" w:hAnsi="Times New Roman" w:eastAsia="Times New Roman"/>
          <w:color w:val="000000"/>
          <w:sz w:val="24"/>
        </w:rPr>
        <w:drawing>
          <wp:inline xmlns:a="http://schemas.openxmlformats.org/drawingml/2006/main" xmlns:pic="http://schemas.openxmlformats.org/drawingml/2006/picture">
            <wp:extent cx="1197864" cy="1280160"/>
            <wp:docPr id="1" name="Picture 1" descr="IILM University logo" title="IILM University logo"/>
            <wp:cNvGraphicFramePr>
              <a:graphicFrameLocks noChangeAspect="1"/>
            </wp:cNvGraphicFramePr>
            <a:graphic>
              <a:graphicData uri="http://schemas.openxmlformats.org/drawingml/2006/picture">
                <pic:pic>
                  <pic:nvPicPr>
                    <pic:cNvPr id="0" name="image1-clean.png"/>
                    <pic:cNvPicPr/>
                  </pic:nvPicPr>
                  <pic:blipFill>
                    <a:blip r:embed="rId9"/>
                    <a:stretch>
                      <a:fillRect/>
                    </a:stretch>
                  </pic:blipFill>
                  <pic:spPr>
                    <a:xfrm>
                      <a:off x="0" y="0"/>
                      <a:ext cx="1197864" cy="1280160"/>
                    </a:xfrm>
                    <a:prstGeom prst="rect"/>
                  </pic:spPr>
                </pic:pic>
              </a:graphicData>
            </a:graphic>
          </wp:inline>
        </w:drawing>
      </w:r>
    </w:p>
    <w:p>
      <w:pPr>
        <w:spacing w:before="0" w:after="100" w:line="240" w:lineRule="auto"/>
        <w:jc w:val="center"/>
      </w:pPr>
      <w:r>
        <w:rPr>
          <w:rFonts w:ascii="Times New Roman" w:hAnsi="Times New Roman" w:eastAsia="Times New Roman"/>
          <w:b w:val="0"/>
          <w:i w:val="0"/>
          <w:color w:val="000000"/>
          <w:sz w:val="24"/>
        </w:rPr>
        <w:t>By</w:t>
      </w:r>
    </w:p>
    <w:p>
      <w:pPr>
        <w:spacing w:before="0" w:after="60" w:line="240" w:lineRule="auto"/>
        <w:jc w:val="center"/>
      </w:pPr>
      <w:r>
        <w:rPr>
          <w:rFonts w:ascii="Times New Roman" w:hAnsi="Times New Roman" w:eastAsia="Times New Roman"/>
          <w:b w:val="0"/>
          <w:i w:val="0"/>
          <w:color w:val="000000"/>
          <w:sz w:val="24"/>
        </w:rPr>
        <w:t>Roll Number of Student: CS-23411324</w:t>
      </w:r>
    </w:p>
    <w:p>
      <w:pPr>
        <w:spacing w:before="0" w:after="60" w:line="240" w:lineRule="auto"/>
        <w:jc w:val="center"/>
      </w:pPr>
      <w:r>
        <w:rPr>
          <w:rFonts w:ascii="Times New Roman" w:hAnsi="Times New Roman" w:eastAsia="Times New Roman"/>
          <w:b w:val="0"/>
          <w:i w:val="0"/>
          <w:color w:val="000000"/>
          <w:sz w:val="24"/>
        </w:rPr>
        <w:t>Name of Student: HIMANSH RAJ</w:t>
      </w:r>
    </w:p>
    <w:p>
      <w:pPr>
        <w:spacing w:before="0" w:after="60" w:line="240" w:lineRule="auto"/>
        <w:jc w:val="center"/>
      </w:pPr>
      <w:r>
        <w:rPr>
          <w:rFonts w:ascii="Times New Roman" w:hAnsi="Times New Roman" w:eastAsia="Times New Roman"/>
          <w:b w:val="0"/>
          <w:i w:val="0"/>
          <w:color w:val="000000"/>
          <w:sz w:val="24"/>
        </w:rPr>
        <w:t>Program &amp; Semester: B.Tech CSE | Semester: VII</w:t>
      </w:r>
    </w:p>
    <w:p>
      <w:pPr>
        <w:spacing w:before="0" w:after="240" w:line="240" w:lineRule="auto"/>
        <w:jc w:val="center"/>
      </w:pPr>
      <w:r>
        <w:rPr>
          <w:rFonts w:ascii="Times New Roman" w:hAnsi="Times New Roman" w:eastAsia="Times New Roman"/>
          <w:b w:val="0"/>
          <w:i w:val="0"/>
          <w:color w:val="000000"/>
          <w:sz w:val="24"/>
        </w:rPr>
        <w:t>Batch: 2023-2027</w:t>
      </w:r>
    </w:p>
    <w:p>
      <w:pPr>
        <w:spacing w:before="0" w:after="0" w:line="240" w:lineRule="auto"/>
        <w:jc w:val="center"/>
      </w:pPr>
      <w:r>
        <w:rPr>
          <w:rFonts w:ascii="Times New Roman" w:hAnsi="Times New Roman" w:eastAsia="Times New Roman"/>
          <w:b w:val="0"/>
          <w:i w:val="0"/>
          <w:color w:val="000000"/>
          <w:sz w:val="24"/>
        </w:rPr>
        <w:t>2026-27</w:t>
      </w:r>
    </w:p>
    <w:p>
      <w:pPr>
        <w:sectPr>
          <w:footerReference w:type="default" r:id="rId8"/>
          <w:pgSz w:w="11906" w:h="16838"/>
          <w:pgMar w:top="1080" w:right="1440" w:bottom="1440" w:left="2160" w:header="504" w:footer="504" w:gutter="0"/>
          <w:pgNumType w:start="1"/>
          <w:cols w:space="720"/>
          <w:pgBorders w:offsetFrom="page">
            <w:top w:val="single" w:sz="24" w:space="24" w:color="000000"/>
            <w:left w:val="single" w:sz="24" w:space="24" w:color="000000"/>
            <w:bottom w:val="single" w:sz="24" w:space="24" w:color="000000"/>
            <w:right w:val="single" w:sz="24" w:space="24" w:color="000000"/>
          </w:pgBorders>
        </w:sectPr>
      </w:pPr>
    </w:p>
    <w:p>
      <w:pPr>
        <w:pStyle w:val="Heading1"/>
        <w:keepNext/>
        <w:keepLines/>
        <w:pageBreakBefore w:val="0"/>
        <w:spacing w:before="280" w:after="320" w:line="240" w:lineRule="auto"/>
        <w:jc w:val="center"/>
        <w:outlineLvl w:val="0"/>
      </w:pPr>
      <w:r>
        <w:rPr>
          <w:rFonts w:ascii="Times New Roman" w:hAnsi="Times New Roman" w:eastAsia="Times New Roman"/>
          <w:b/>
          <w:color w:val="000000"/>
          <w:sz w:val="28"/>
        </w:rPr>
        <w:t>CANDIDATE'S DECLARATION</w:t>
      </w:r>
    </w:p>
    <w:p>
      <w:pPr>
        <w:keepNext w:val="0"/>
        <w:spacing w:line="360" w:lineRule="auto" w:before="0" w:after="120"/>
        <w:ind w:firstLine="432"/>
        <w:jc w:val="both"/>
      </w:pPr>
      <w:r>
        <w:rPr>
          <w:rFonts w:ascii="Times New Roman" w:hAnsi="Times New Roman" w:eastAsia="Times New Roman"/>
          <w:color w:val="000000"/>
          <w:sz w:val="24"/>
        </w:rPr>
        <w:t>I, Himansh Raj, hereby declare that the internship report titled "PraDCT and PrakritM2M: Directional Checkpoint Transfer for Low-Resource Prakrit-English Neural Machine Translation" has been prepared by me in partial fulfilment of the requirements for the award of the degree of Bachelor of Technology in Computer Science and Engineering.</w:t>
      </w:r>
    </w:p>
    <w:p>
      <w:pPr>
        <w:keepNext w:val="0"/>
        <w:spacing w:line="360" w:lineRule="auto" w:before="0" w:after="120"/>
        <w:ind w:firstLine="432"/>
        <w:jc w:val="both"/>
      </w:pPr>
      <w:r>
        <w:rPr>
          <w:rFonts w:ascii="Times New Roman" w:hAnsi="Times New Roman" w:eastAsia="Times New Roman"/>
          <w:color w:val="000000"/>
          <w:sz w:val="24"/>
        </w:rPr>
        <w:t>The work described in this report was carried out during my research internship at the Machine Intelligence Signals and Networks Lab, Indian Institute of Technology Delhi. All external datasets, software libraries, research papers, and other resources used during the work have been appropriately acknowledged. This report has not been submitted to any other institute for the award of any degree or diploma. I accept responsibility for the originality and academic integrity of the submitted work.</w:t>
      </w:r>
    </w:p>
    <w:p>
      <w:pPr>
        <w:tabs>
          <w:tab w:pos="4104" w:val="left"/>
        </w:tabs>
        <w:spacing w:line="240" w:lineRule="auto" w:before="720" w:after="40"/>
        <w:ind w:left="0" w:firstLine="0"/>
        <w:jc w:val="left"/>
      </w:pPr>
      <w:r>
        <w:rPr>
          <w:rFonts w:ascii="Times New Roman" w:hAnsi="Times New Roman" w:eastAsia="Times New Roman"/>
          <w:color w:val="000000"/>
          <w:sz w:val="24"/>
        </w:rPr>
        <w:t>Signature:</w:t>
        <w:tab/>
      </w:r>
      <w:r>
        <w:rPr>
          <w:rFonts w:ascii="Times New Roman" w:hAnsi="Times New Roman" w:eastAsia="Times New Roman"/>
          <w:color w:val="000000"/>
          <w:sz w:val="24"/>
        </w:rPr>
        <w:drawing>
          <wp:inline xmlns:a="http://schemas.openxmlformats.org/drawingml/2006/main" xmlns:pic="http://schemas.openxmlformats.org/drawingml/2006/picture">
            <wp:extent cx="1645920" cy="812543"/>
            <wp:docPr id="2" name="Picture 2" descr="Signature of Himansh Raj" title="Signature of Himansh Raj"/>
            <wp:cNvGraphicFramePr>
              <a:graphicFrameLocks noChangeAspect="1"/>
            </wp:cNvGraphicFramePr>
            <a:graphic>
              <a:graphicData uri="http://schemas.openxmlformats.org/drawingml/2006/picture">
                <pic:pic>
                  <pic:nvPicPr>
                    <pic:cNvPr id="0" name="WhatsApp_Image_2026-08-29_at_5.03.00_AM-removebg-preview.png"/>
                    <pic:cNvPicPr/>
                  </pic:nvPicPr>
                  <pic:blipFill>
                    <a:blip r:embed="rId11"/>
                    <a:stretch>
                      <a:fillRect/>
                    </a:stretch>
                  </pic:blipFill>
                  <pic:spPr>
                    <a:xfrm>
                      <a:off x="0" y="0"/>
                      <a:ext cx="1645920" cy="812543"/>
                    </a:xfrm>
                    <a:prstGeom prst="rect"/>
                  </pic:spPr>
                </pic:pic>
              </a:graphicData>
            </a:graphic>
          </wp:inline>
        </w:drawing>
      </w:r>
    </w:p>
    <w:p>
      <w:pPr>
        <w:tabs>
          <w:tab w:pos="4104" w:val="left"/>
        </w:tabs>
        <w:spacing w:line="240" w:lineRule="auto" w:before="0" w:after="100"/>
        <w:ind w:left="0" w:firstLine="0"/>
        <w:jc w:val="left"/>
      </w:pPr>
      <w:r>
        <w:rPr>
          <w:rFonts w:ascii="Times New Roman" w:hAnsi="Times New Roman" w:eastAsia="Times New Roman"/>
          <w:color w:val="000000"/>
          <w:sz w:val="24"/>
        </w:rPr>
        <w:t>Student Name:</w:t>
        <w:tab/>
      </w:r>
      <w:r>
        <w:rPr>
          <w:rFonts w:ascii="Times New Roman" w:hAnsi="Times New Roman" w:eastAsia="Times New Roman"/>
          <w:color w:val="000000"/>
          <w:sz w:val="24"/>
        </w:rPr>
        <w:t>Himansh Raj</w:t>
      </w:r>
    </w:p>
    <w:p>
      <w:pPr>
        <w:tabs>
          <w:tab w:pos="4104" w:val="left"/>
        </w:tabs>
        <w:spacing w:line="240" w:lineRule="auto" w:before="0" w:after="100"/>
        <w:ind w:left="0" w:firstLine="0"/>
        <w:jc w:val="left"/>
      </w:pPr>
      <w:r>
        <w:rPr>
          <w:rFonts w:ascii="Times New Roman" w:hAnsi="Times New Roman" w:eastAsia="Times New Roman"/>
          <w:color w:val="000000"/>
          <w:sz w:val="24"/>
        </w:rPr>
        <w:t>Roll No.:</w:t>
        <w:tab/>
      </w:r>
      <w:r>
        <w:rPr>
          <w:rFonts w:ascii="Times New Roman" w:hAnsi="Times New Roman" w:eastAsia="Times New Roman"/>
          <w:color w:val="000000"/>
          <w:sz w:val="24"/>
        </w:rPr>
        <w:t>CS-23411324</w:t>
      </w:r>
    </w:p>
    <w:p>
      <w:pPr>
        <w:tabs>
          <w:tab w:pos="4104" w:val="left"/>
        </w:tabs>
        <w:spacing w:line="240" w:lineRule="auto" w:before="0" w:after="100"/>
        <w:ind w:left="0" w:firstLine="0"/>
        <w:jc w:val="left"/>
      </w:pPr>
      <w:r>
        <w:rPr>
          <w:rFonts w:ascii="Times New Roman" w:hAnsi="Times New Roman" w:eastAsia="Times New Roman"/>
          <w:color w:val="000000"/>
          <w:sz w:val="24"/>
        </w:rPr>
        <w:t>Date:</w:t>
        <w:tab/>
      </w:r>
      <w:r>
        <w:rPr>
          <w:rFonts w:ascii="Times New Roman" w:hAnsi="Times New Roman" w:eastAsia="Times New Roman"/>
          <w:color w:val="000000"/>
          <w:sz w:val="24"/>
        </w:rPr>
        <w:t>28 August 2026</w:t>
      </w:r>
    </w:p>
    <w:p>
      <w:pPr>
        <w:sectPr>
          <w:footerReference w:type="default" r:id="rId10"/>
          <w:pgSz w:w="11906" w:h="16838"/>
          <w:pgMar w:top="1080" w:right="1440" w:bottom="1440" w:left="2160" w:header="504" w:footer="504" w:gutter="0"/>
          <w:pgNumType w:start="1" w:fmt="lowerRoman"/>
          <w:cols w:space="720"/>
        </w:sectPr>
      </w:pPr>
    </w:p>
    <w:p>
      <w:pPr>
        <w:pStyle w:val="Heading1"/>
        <w:keepNext/>
        <w:keepLines/>
        <w:pageBreakBefore w:val="0"/>
        <w:spacing w:before="760" w:after="440" w:line="240" w:lineRule="auto"/>
        <w:jc w:val="center"/>
        <w:outlineLvl w:val="0"/>
      </w:pPr>
      <w:r>
        <w:rPr>
          <w:rFonts w:ascii="Times New Roman" w:hAnsi="Times New Roman" w:eastAsia="Times New Roman"/>
          <w:b/>
          <w:color w:val="000000"/>
          <w:sz w:val="28"/>
        </w:rPr>
        <w:t>ACKNOWLEDGEMENT</w:t>
      </w:r>
    </w:p>
    <w:p>
      <w:pPr>
        <w:keepNext w:val="0"/>
        <w:spacing w:line="360" w:lineRule="auto" w:before="0" w:after="120"/>
        <w:ind w:firstLine="432"/>
        <w:jc w:val="both"/>
      </w:pPr>
      <w:r>
        <w:rPr>
          <w:rFonts w:ascii="Times New Roman" w:hAnsi="Times New Roman" w:eastAsia="Times New Roman"/>
          <w:color w:val="000000"/>
          <w:sz w:val="24"/>
        </w:rPr>
        <w:t>I express my sincere gratitude to Dr. Sandeep Kumar, Associate Professor at the Indian Institute of Technology Delhi, for providing me with the opportunity to undertake a research internship at the Machine Intelligence Signals and Networks Lab. His guidance and the research environment of the laboratory helped me approach an open-ended machine learning problem through data preparation, experimentation, evaluation, and critical analysis.</w:t>
      </w:r>
    </w:p>
    <w:p>
      <w:pPr>
        <w:keepNext w:val="0"/>
        <w:spacing w:line="360" w:lineRule="auto" w:before="0" w:after="120"/>
        <w:ind w:firstLine="432"/>
        <w:jc w:val="both"/>
      </w:pPr>
      <w:r>
        <w:rPr>
          <w:rFonts w:ascii="Times New Roman" w:hAnsi="Times New Roman" w:eastAsia="Times New Roman"/>
          <w:color w:val="000000"/>
          <w:sz w:val="24"/>
        </w:rPr>
        <w:t>I am thankful to the Department of Electrical Engineering, the Yardi School of Artificial Intelligence, and the wider research community at IIT Delhi for providing an interdisciplinary environment for this work. I also acknowledge the developers and maintainers of the open-source datasets, pretrained models, and software libraries used in the project.</w:t>
      </w:r>
    </w:p>
    <w:p>
      <w:pPr>
        <w:keepNext w:val="0"/>
        <w:spacing w:line="360" w:lineRule="auto" w:before="0" w:after="120"/>
        <w:ind w:firstLine="432"/>
        <w:jc w:val="both"/>
      </w:pPr>
      <w:r>
        <w:rPr>
          <w:rFonts w:ascii="Times New Roman" w:hAnsi="Times New Roman" w:eastAsia="Times New Roman"/>
          <w:color w:val="000000"/>
          <w:sz w:val="24"/>
        </w:rPr>
        <w:t>I thank the faculty members of the School of Computer Science and Engineering, IILM University, for their academic support. Finally, I express my gratitude to my parents and family for their encouragement throughout the internship.</w:t>
      </w:r>
    </w:p>
    <w:p>
      <w:pPr>
        <w:tabs>
          <w:tab w:pos="4104" w:val="left"/>
        </w:tabs>
        <w:spacing w:line="240" w:lineRule="auto" w:before="920" w:after="40"/>
        <w:ind w:left="0" w:firstLine="0"/>
        <w:jc w:val="left"/>
      </w:pPr>
      <w:r>
        <w:rPr>
          <w:rFonts w:ascii="Times New Roman" w:hAnsi="Times New Roman" w:eastAsia="Times New Roman"/>
          <w:color w:val="000000"/>
          <w:sz w:val="24"/>
        </w:rPr>
        <w:t>Signature:</w:t>
        <w:tab/>
      </w:r>
      <w:r>
        <w:rPr>
          <w:rFonts w:ascii="Times New Roman" w:hAnsi="Times New Roman" w:eastAsia="Times New Roman"/>
          <w:color w:val="000000"/>
          <w:sz w:val="24"/>
        </w:rPr>
        <w:drawing>
          <wp:inline xmlns:a="http://schemas.openxmlformats.org/drawingml/2006/main" xmlns:pic="http://schemas.openxmlformats.org/drawingml/2006/picture">
            <wp:extent cx="1645920" cy="812543"/>
            <wp:docPr id="3" name="Picture 3" descr="Signature of Himansh Raj" title="Signature of Himansh Raj"/>
            <wp:cNvGraphicFramePr>
              <a:graphicFrameLocks noChangeAspect="1"/>
            </wp:cNvGraphicFramePr>
            <a:graphic>
              <a:graphicData uri="http://schemas.openxmlformats.org/drawingml/2006/picture">
                <pic:pic>
                  <pic:nvPicPr>
                    <pic:cNvPr id="0" name="WhatsApp_Image_2026-08-29_at_5.03.00_AM-removebg-preview.png"/>
                    <pic:cNvPicPr/>
                  </pic:nvPicPr>
                  <pic:blipFill>
                    <a:blip r:embed="rId11"/>
                    <a:stretch>
                      <a:fillRect/>
                    </a:stretch>
                  </pic:blipFill>
                  <pic:spPr>
                    <a:xfrm>
                      <a:off x="0" y="0"/>
                      <a:ext cx="1645920" cy="812543"/>
                    </a:xfrm>
                    <a:prstGeom prst="rect"/>
                  </pic:spPr>
                </pic:pic>
              </a:graphicData>
            </a:graphic>
          </wp:inline>
        </w:drawing>
      </w:r>
    </w:p>
    <w:p>
      <w:pPr>
        <w:tabs>
          <w:tab w:pos="4104" w:val="left"/>
        </w:tabs>
        <w:spacing w:line="240" w:lineRule="auto" w:before="0" w:after="100"/>
        <w:ind w:left="0" w:firstLine="0"/>
        <w:jc w:val="left"/>
      </w:pPr>
      <w:r>
        <w:rPr>
          <w:rFonts w:ascii="Times New Roman" w:hAnsi="Times New Roman" w:eastAsia="Times New Roman"/>
          <w:color w:val="000000"/>
          <w:sz w:val="24"/>
        </w:rPr>
        <w:t>Student Name:</w:t>
        <w:tab/>
      </w:r>
      <w:r>
        <w:rPr>
          <w:rFonts w:ascii="Times New Roman" w:hAnsi="Times New Roman" w:eastAsia="Times New Roman"/>
          <w:color w:val="000000"/>
          <w:sz w:val="24"/>
        </w:rPr>
        <w:t>Himansh Raj</w:t>
      </w:r>
    </w:p>
    <w:p>
      <w:pPr>
        <w:tabs>
          <w:tab w:pos="4104" w:val="left"/>
        </w:tabs>
        <w:spacing w:line="240" w:lineRule="auto" w:before="0" w:after="100"/>
        <w:ind w:left="0" w:firstLine="0"/>
        <w:jc w:val="left"/>
      </w:pPr>
      <w:r>
        <w:rPr>
          <w:rFonts w:ascii="Times New Roman" w:hAnsi="Times New Roman" w:eastAsia="Times New Roman"/>
          <w:color w:val="000000"/>
          <w:sz w:val="24"/>
        </w:rPr>
        <w:t>Roll No.:</w:t>
        <w:tab/>
      </w:r>
      <w:r>
        <w:rPr>
          <w:rFonts w:ascii="Times New Roman" w:hAnsi="Times New Roman" w:eastAsia="Times New Roman"/>
          <w:color w:val="000000"/>
          <w:sz w:val="24"/>
        </w:rPr>
        <w:t>CS-23411324</w:t>
      </w:r>
    </w:p>
    <w:p>
      <w:pPr>
        <w:sectPr>
          <w:footerReference w:type="default" r:id="rId12"/>
          <w:pgSz w:w="11906" w:h="16838"/>
          <w:pgMar w:top="1080" w:right="1440" w:bottom="1440" w:left="2160" w:header="504" w:footer="504" w:gutter="0"/>
          <w:pgNumType w:start="2" w:fmt="lowerRoman"/>
          <w:cols w:space="720"/>
          <w:pgBorders w:offsetFrom="page">
            <w:top w:val="single" w:sz="24" w:space="24" w:color="000000"/>
            <w:left w:val="single" w:sz="24" w:space="24" w:color="000000"/>
            <w:bottom w:val="single" w:sz="24" w:space="24" w:color="000000"/>
            <w:right w:val="single" w:sz="24" w:space="24" w:color="000000"/>
          </w:pgBorders>
        </w:sectPr>
      </w:pPr>
    </w:p>
    <w:p>
      <w:pPr>
        <w:pStyle w:val="Heading1"/>
        <w:keepNext/>
        <w:keepLines/>
        <w:pageBreakBefore w:val="0"/>
        <w:spacing w:before="40" w:after="200" w:line="240" w:lineRule="auto"/>
        <w:jc w:val="center"/>
        <w:outlineLvl w:val="0"/>
      </w:pPr>
      <w:r>
        <w:rPr>
          <w:rFonts w:ascii="Times New Roman" w:hAnsi="Times New Roman" w:eastAsia="Times New Roman"/>
          <w:b/>
          <w:color w:val="000000"/>
          <w:sz w:val="28"/>
        </w:rPr>
        <w:t>TABLE OF CONTENTS</w:t>
      </w:r>
    </w:p>
    <w:tbl>
      <w:tblPr>
        <w:tblW w:type="dxa" w:w="8100"/>
        <w:jc w:val="left"/>
        <w:tblLayout w:type="fixed"/>
        <w:tblLook w:firstColumn="1" w:firstRow="1" w:lastColumn="0" w:lastRow="0" w:noHBand="0" w:noVBand="1" w:val="04A0"/>
        <w:tblInd w:w="120" w:type="dxa"/>
        <w:tblBorders>
          <w:top w:val="single" w:sz="6" w:space="0" w:color="7A7F87"/>
          <w:left w:val="single" w:sz="6" w:space="0" w:color="7A7F87"/>
          <w:bottom w:val="single" w:sz="6" w:space="0" w:color="7A7F87"/>
          <w:right w:val="single" w:sz="6" w:space="0" w:color="7A7F87"/>
          <w:insideH w:val="single" w:sz="6" w:space="0" w:color="7A7F87"/>
          <w:insideV w:val="single" w:sz="6" w:space="0" w:color="7A7F87"/>
        </w:tblBorders>
      </w:tblPr>
      <w:tblGrid>
        <w:gridCol w:w="1200"/>
        <w:gridCol w:w="6100"/>
        <w:gridCol w:w="800"/>
      </w:tblGrid>
      <w:tr>
        <w:trPr>
          <w:cantSplit/>
          <w:tblHeader w:val="true"/>
        </w:trPr>
        <w:tc>
          <w:tcPr>
            <w:tcW w:type="dxa" w:w="12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9"/>
              </w:rPr>
              <w:t>Chapter</w:t>
              <w:br/>
              <w:t>No.</w:t>
            </w:r>
          </w:p>
        </w:tc>
        <w:tc>
          <w:tcPr>
            <w:tcW w:type="dxa" w:w="6100"/>
            <w:vAlign w:val="center"/>
            <w:tcMar>
              <w:top w:w="80" w:type="dxa"/>
              <w:start w:w="90" w:type="dxa"/>
              <w:bottom w:w="80" w:type="dxa"/>
              <w:end w:w="90" w:type="dxa"/>
            </w:tcMar>
            <w:shd w:fill="E5E7EB"/>
          </w:tcPr>
          <w:p>
            <w:pPr>
              <w:spacing w:before="0" w:after="0" w:line="240" w:lineRule="auto"/>
              <w:jc w:val="left"/>
            </w:pPr>
            <w:r>
              <w:rPr>
                <w:rFonts w:ascii="Times New Roman" w:hAnsi="Times New Roman" w:eastAsia="Times New Roman"/>
                <w:b/>
                <w:color w:val="000000"/>
                <w:sz w:val="19"/>
              </w:rPr>
              <w:t>Chapter Name</w:t>
            </w:r>
          </w:p>
        </w:tc>
        <w:tc>
          <w:tcPr>
            <w:tcW w:type="dxa" w:w="8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9"/>
              </w:rPr>
              <w:t>Page</w:t>
              <w:br/>
              <w:t>Nos.</w:t>
            </w:r>
          </w:p>
        </w:tc>
      </w:tr>
      <w:tr>
        <w:trPr>
          <w:cantSplit/>
        </w:trPr>
        <w:tc>
          <w:tcPr>
            <w:tcW w:type="dxa" w:w="12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9"/>
              </w:rPr>
            </w:r>
          </w:p>
        </w:tc>
        <w:tc>
          <w:tcPr>
            <w:tcW w:type="dxa" w:w="61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9"/>
              </w:rPr>
              <w:t>Cover Page</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9"/>
              </w:rPr>
              <w:t>----</w:t>
            </w:r>
          </w:p>
        </w:tc>
      </w:tr>
      <w:tr>
        <w:trPr>
          <w:cantSplit/>
        </w:trPr>
        <w:tc>
          <w:tcPr>
            <w:tcW w:type="dxa" w:w="12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9"/>
              </w:rPr>
              <w:t>1.</w:t>
            </w:r>
          </w:p>
        </w:tc>
        <w:tc>
          <w:tcPr>
            <w:tcW w:type="dxa" w:w="61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9"/>
              </w:rPr>
              <w:t>Candidate's Declaration</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9"/>
              </w:rPr>
              <w:t>i</w:t>
            </w:r>
          </w:p>
        </w:tc>
      </w:tr>
      <w:tr>
        <w:trPr>
          <w:cantSplit/>
        </w:trPr>
        <w:tc>
          <w:tcPr>
            <w:tcW w:type="dxa" w:w="12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9"/>
              </w:rPr>
              <w:t>2.</w:t>
            </w:r>
          </w:p>
        </w:tc>
        <w:tc>
          <w:tcPr>
            <w:tcW w:type="dxa" w:w="61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9"/>
              </w:rPr>
              <w:t>Acknowledgement</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9"/>
              </w:rPr>
              <w:t>ii</w:t>
            </w:r>
          </w:p>
        </w:tc>
      </w:tr>
      <w:tr>
        <w:trPr>
          <w:cantSplit/>
        </w:trPr>
        <w:tc>
          <w:tcPr>
            <w:tcW w:type="dxa" w:w="12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9"/>
              </w:rPr>
              <w:t>3.</w:t>
            </w:r>
          </w:p>
        </w:tc>
        <w:tc>
          <w:tcPr>
            <w:tcW w:type="dxa" w:w="61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9"/>
              </w:rPr>
              <w:t>Internship Completion Certificate</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9"/>
              </w:rPr>
              <w:t>----</w:t>
            </w:r>
          </w:p>
        </w:tc>
      </w:tr>
      <w:tr>
        <w:trPr>
          <w:cantSplit/>
        </w:trPr>
        <w:tc>
          <w:tcPr>
            <w:tcW w:type="dxa" w:w="12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9"/>
              </w:rPr>
              <w:t>4.</w:t>
            </w:r>
          </w:p>
        </w:tc>
        <w:tc>
          <w:tcPr>
            <w:tcW w:type="dxa" w:w="61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9"/>
              </w:rPr>
              <w:t>Project Description</w:t>
              <w:br/>
              <w:t>4.1 Introduction</w:t>
              <w:br/>
              <w:t>4.2 Organization Profile</w:t>
              <w:br/>
              <w:t>4.3 Problem Statement</w:t>
              <w:br/>
              <w:t>4.4 Project Objectives</w:t>
              <w:br/>
              <w:t>4.5 Scope of the Project</w:t>
              <w:br/>
              <w:t>4.6 Technologies and Tools Used</w:t>
              <w:br/>
              <w:t>4.7 System Architecture</w:t>
              <w:br/>
              <w:t>4.8 Methodology</w:t>
              <w:br/>
              <w:t>4.9 Expected and Achieved Outcomes</w:t>
              <w:br/>
              <w:t>4.10 Internship Completion Certificate and Communication Evidence</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9"/>
              </w:rPr>
              <w:t>1</w:t>
              <w:br/>
              <w:t>1</w:t>
              <w:br/>
              <w:t>2</w:t>
              <w:br/>
              <w:t>3</w:t>
              <w:br/>
              <w:t>3</w:t>
              <w:br/>
              <w:t>4</w:t>
              <w:br/>
              <w:t>5</w:t>
              <w:br/>
              <w:t>6</w:t>
              <w:br/>
              <w:t>7</w:t>
              <w:br/>
              <w:t>11</w:t>
              <w:br/>
              <w:t>13</w:t>
            </w:r>
          </w:p>
        </w:tc>
      </w:tr>
      <w:tr>
        <w:trPr>
          <w:cantSplit/>
        </w:trPr>
        <w:tc>
          <w:tcPr>
            <w:tcW w:type="dxa" w:w="12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9"/>
              </w:rPr>
              <w:t>5.</w:t>
            </w:r>
          </w:p>
        </w:tc>
        <w:tc>
          <w:tcPr>
            <w:tcW w:type="dxa" w:w="61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9"/>
              </w:rPr>
              <w:t>Bibliography / References</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9"/>
              </w:rPr>
              <w:t>15</w:t>
            </w:r>
          </w:p>
        </w:tc>
      </w:tr>
    </w:tbl>
    <w:p>
      <w:pPr>
        <w:sectPr>
          <w:footerReference w:type="default" r:id="rId13"/>
          <w:pgSz w:w="11906" w:h="16838"/>
          <w:pgMar w:top="1080" w:right="1440" w:bottom="1440" w:left="2160" w:header="504" w:footer="504" w:gutter="0"/>
          <w:pgNumType w:start="3" w:fmt="lowerRoman"/>
          <w:cols w:space="720"/>
        </w:sectPr>
      </w:pPr>
    </w:p>
    <w:p>
      <w:pPr>
        <w:pStyle w:val="Heading1"/>
        <w:keepNext/>
        <w:keepLines/>
        <w:pageBreakBefore w:val="0"/>
        <w:spacing w:before="0" w:after="120" w:line="240" w:lineRule="auto"/>
        <w:jc w:val="center"/>
        <w:outlineLvl w:val="0"/>
      </w:pPr>
      <w:r>
        <w:rPr>
          <w:rFonts w:ascii="Times New Roman" w:hAnsi="Times New Roman" w:eastAsia="Times New Roman"/>
          <w:b/>
          <w:color w:val="000000"/>
          <w:sz w:val="28"/>
        </w:rPr>
        <w:t>LIST OF TABLES</w:t>
      </w:r>
    </w:p>
    <w:tbl>
      <w:tblPr>
        <w:tblW w:type="dxa" w:w="8100"/>
        <w:jc w:val="left"/>
        <w:tblLayout w:type="fixed"/>
        <w:tblLook w:firstColumn="1" w:firstRow="1" w:lastColumn="0" w:lastRow="0" w:noHBand="0" w:noVBand="1" w:val="04A0"/>
        <w:tblInd w:w="120" w:type="dxa"/>
        <w:tblBorders>
          <w:top w:val="single" w:sz="6" w:space="0" w:color="7A7F87"/>
          <w:left w:val="single" w:sz="6" w:space="0" w:color="7A7F87"/>
          <w:bottom w:val="single" w:sz="6" w:space="0" w:color="7A7F87"/>
          <w:right w:val="single" w:sz="6" w:space="0" w:color="7A7F87"/>
          <w:insideH w:val="single" w:sz="6" w:space="0" w:color="7A7F87"/>
          <w:insideV w:val="single" w:sz="6" w:space="0" w:color="7A7F87"/>
        </w:tblBorders>
      </w:tblPr>
      <w:tblGrid>
        <w:gridCol w:w="900"/>
        <w:gridCol w:w="6400"/>
        <w:gridCol w:w="800"/>
      </w:tblGrid>
      <w:tr>
        <w:trPr>
          <w:cantSplit/>
          <w:tblHeader w:val="true"/>
        </w:trPr>
        <w:tc>
          <w:tcPr>
            <w:tcW w:type="dxa" w:w="9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7"/>
              </w:rPr>
              <w:t>Table</w:t>
            </w:r>
          </w:p>
        </w:tc>
        <w:tc>
          <w:tcPr>
            <w:tcW w:type="dxa" w:w="6400"/>
            <w:vAlign w:val="center"/>
            <w:tcMar>
              <w:top w:w="80" w:type="dxa"/>
              <w:start w:w="90" w:type="dxa"/>
              <w:bottom w:w="80" w:type="dxa"/>
              <w:end w:w="90" w:type="dxa"/>
            </w:tcMar>
            <w:shd w:fill="E5E7EB"/>
          </w:tcPr>
          <w:p>
            <w:pPr>
              <w:spacing w:before="0" w:after="0" w:line="240" w:lineRule="auto"/>
              <w:jc w:val="left"/>
            </w:pPr>
            <w:r>
              <w:rPr>
                <w:rFonts w:ascii="Times New Roman" w:hAnsi="Times New Roman" w:eastAsia="Times New Roman"/>
                <w:b/>
                <w:color w:val="000000"/>
                <w:sz w:val="17"/>
              </w:rPr>
              <w:t>Title</w:t>
            </w:r>
          </w:p>
        </w:tc>
        <w:tc>
          <w:tcPr>
            <w:tcW w:type="dxa" w:w="8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7"/>
              </w:rPr>
              <w:t>Page</w:t>
            </w:r>
          </w:p>
        </w:tc>
      </w:tr>
      <w:tr>
        <w:trPr>
          <w:cantSplit/>
        </w:trPr>
        <w:tc>
          <w:tcPr>
            <w:tcW w:type="dxa" w:w="9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4.1</w:t>
            </w:r>
          </w:p>
        </w:tc>
        <w:tc>
          <w:tcPr>
            <w:tcW w:type="dxa" w:w="64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7"/>
              </w:rPr>
              <w:t>Internship placement details</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2</w:t>
            </w:r>
          </w:p>
        </w:tc>
      </w:tr>
      <w:tr>
        <w:trPr>
          <w:cantSplit/>
        </w:trPr>
        <w:tc>
          <w:tcPr>
            <w:tcW w:type="dxa" w:w="9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4.2</w:t>
            </w:r>
          </w:p>
        </w:tc>
        <w:tc>
          <w:tcPr>
            <w:tcW w:type="dxa" w:w="64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7"/>
              </w:rPr>
              <w:t>Technologies and tools used</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5</w:t>
            </w:r>
          </w:p>
        </w:tc>
      </w:tr>
      <w:tr>
        <w:trPr>
          <w:cantSplit/>
        </w:trPr>
        <w:tc>
          <w:tcPr>
            <w:tcW w:type="dxa" w:w="9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4.3</w:t>
            </w:r>
          </w:p>
        </w:tc>
        <w:tc>
          <w:tcPr>
            <w:tcW w:type="dxa" w:w="64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7"/>
              </w:rPr>
              <w:t>Curated dataset inventory</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7</w:t>
            </w:r>
          </w:p>
        </w:tc>
      </w:tr>
      <w:tr>
        <w:trPr>
          <w:cantSplit/>
        </w:trPr>
        <w:tc>
          <w:tcPr>
            <w:tcW w:type="dxa" w:w="9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4.4</w:t>
            </w:r>
          </w:p>
        </w:tc>
        <w:tc>
          <w:tcPr>
            <w:tcW w:type="dxa" w:w="64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7"/>
              </w:rPr>
              <w:t>Evaluation-split similarity audit</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8</w:t>
            </w:r>
          </w:p>
        </w:tc>
      </w:tr>
      <w:tr>
        <w:trPr>
          <w:cantSplit/>
        </w:trPr>
        <w:tc>
          <w:tcPr>
            <w:tcW w:type="dxa" w:w="9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4.5</w:t>
            </w:r>
          </w:p>
        </w:tc>
        <w:tc>
          <w:tcPr>
            <w:tcW w:type="dxa" w:w="64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7"/>
              </w:rPr>
              <w:t>Exploratory model experiments</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8</w:t>
            </w:r>
          </w:p>
        </w:tc>
      </w:tr>
      <w:tr>
        <w:trPr>
          <w:cantSplit/>
        </w:trPr>
        <w:tc>
          <w:tcPr>
            <w:tcW w:type="dxa" w:w="9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4.6</w:t>
            </w:r>
          </w:p>
        </w:tc>
        <w:tc>
          <w:tcPr>
            <w:tcW w:type="dxa" w:w="64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7"/>
              </w:rPr>
              <w:t>Final translation training configuration</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8</w:t>
            </w:r>
          </w:p>
        </w:tc>
      </w:tr>
      <w:tr>
        <w:trPr>
          <w:cantSplit/>
        </w:trPr>
        <w:tc>
          <w:tcPr>
            <w:tcW w:type="dxa" w:w="9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4.7</w:t>
            </w:r>
          </w:p>
        </w:tc>
        <w:tc>
          <w:tcPr>
            <w:tcW w:type="dxa" w:w="64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7"/>
              </w:rPr>
              <w:t>Synthetic-data generation summary</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9</w:t>
            </w:r>
          </w:p>
        </w:tc>
      </w:tr>
      <w:tr>
        <w:trPr>
          <w:cantSplit/>
        </w:trPr>
        <w:tc>
          <w:tcPr>
            <w:tcW w:type="dxa" w:w="9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4.8</w:t>
            </w:r>
          </w:p>
        </w:tc>
        <w:tc>
          <w:tcPr>
            <w:tcW w:type="dxa" w:w="64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7"/>
              </w:rPr>
              <w:t>Prakrit-Sanskrit lexical experiment</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10</w:t>
            </w:r>
          </w:p>
        </w:tc>
      </w:tr>
      <w:tr>
        <w:trPr>
          <w:cantSplit/>
        </w:trPr>
        <w:tc>
          <w:tcPr>
            <w:tcW w:type="dxa" w:w="9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4.9</w:t>
            </w:r>
          </w:p>
        </w:tc>
        <w:tc>
          <w:tcPr>
            <w:tcW w:type="dxa" w:w="64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7"/>
              </w:rPr>
              <w:t>Expected and achieved project outcomes</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11</w:t>
            </w:r>
          </w:p>
        </w:tc>
      </w:tr>
      <w:tr>
        <w:trPr>
          <w:cantSplit/>
        </w:trPr>
        <w:tc>
          <w:tcPr>
            <w:tcW w:type="dxa" w:w="9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4.10</w:t>
            </w:r>
          </w:p>
        </w:tc>
        <w:tc>
          <w:tcPr>
            <w:tcW w:type="dxa" w:w="64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7"/>
              </w:rPr>
              <w:t>Limitations, implications, and next actions</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7"/>
              </w:rPr>
              <w:t>12</w:t>
            </w:r>
          </w:p>
        </w:tc>
      </w:tr>
    </w:tbl>
    <w:p>
      <w:pPr>
        <w:pStyle w:val="Heading1"/>
        <w:keepNext/>
        <w:keepLines/>
        <w:pageBreakBefore w:val="0"/>
        <w:spacing w:before="200" w:after="120" w:line="240" w:lineRule="auto"/>
        <w:jc w:val="center"/>
        <w:outlineLvl w:val="0"/>
      </w:pPr>
      <w:r>
        <w:rPr>
          <w:rFonts w:ascii="Times New Roman" w:hAnsi="Times New Roman" w:eastAsia="Times New Roman"/>
          <w:b/>
          <w:color w:val="000000"/>
          <w:sz w:val="28"/>
        </w:rPr>
        <w:t>LIST OF FIGURES</w:t>
      </w:r>
    </w:p>
    <w:tbl>
      <w:tblPr>
        <w:tblW w:type="dxa" w:w="8100"/>
        <w:jc w:val="left"/>
        <w:tblLayout w:type="fixed"/>
        <w:tblLook w:firstColumn="1" w:firstRow="1" w:lastColumn="0" w:lastRow="0" w:noHBand="0" w:noVBand="1" w:val="04A0"/>
        <w:tblInd w:w="120" w:type="dxa"/>
        <w:tblBorders>
          <w:top w:val="single" w:sz="6" w:space="0" w:color="7A7F87"/>
          <w:left w:val="single" w:sz="6" w:space="0" w:color="7A7F87"/>
          <w:bottom w:val="single" w:sz="6" w:space="0" w:color="7A7F87"/>
          <w:right w:val="single" w:sz="6" w:space="0" w:color="7A7F87"/>
          <w:insideH w:val="single" w:sz="6" w:space="0" w:color="7A7F87"/>
          <w:insideV w:val="single" w:sz="6" w:space="0" w:color="7A7F87"/>
        </w:tblBorders>
      </w:tblPr>
      <w:tblGrid>
        <w:gridCol w:w="900"/>
        <w:gridCol w:w="6400"/>
        <w:gridCol w:w="800"/>
      </w:tblGrid>
      <w:tr>
        <w:trPr>
          <w:cantSplit/>
          <w:tblHeader w:val="true"/>
        </w:trPr>
        <w:tc>
          <w:tcPr>
            <w:tcW w:type="dxa" w:w="9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8"/>
              </w:rPr>
              <w:t>Figure</w:t>
            </w:r>
          </w:p>
        </w:tc>
        <w:tc>
          <w:tcPr>
            <w:tcW w:type="dxa" w:w="6400"/>
            <w:vAlign w:val="center"/>
            <w:tcMar>
              <w:top w:w="80" w:type="dxa"/>
              <w:start w:w="90" w:type="dxa"/>
              <w:bottom w:w="80" w:type="dxa"/>
              <w:end w:w="90" w:type="dxa"/>
            </w:tcMar>
            <w:shd w:fill="E5E7EB"/>
          </w:tcPr>
          <w:p>
            <w:pPr>
              <w:spacing w:before="0" w:after="0" w:line="240" w:lineRule="auto"/>
              <w:jc w:val="left"/>
            </w:pPr>
            <w:r>
              <w:rPr>
                <w:rFonts w:ascii="Times New Roman" w:hAnsi="Times New Roman" w:eastAsia="Times New Roman"/>
                <w:b/>
                <w:color w:val="000000"/>
                <w:sz w:val="18"/>
              </w:rPr>
              <w:t>Title</w:t>
            </w:r>
          </w:p>
        </w:tc>
        <w:tc>
          <w:tcPr>
            <w:tcW w:type="dxa" w:w="8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8"/>
              </w:rPr>
              <w:t>Page</w:t>
            </w:r>
          </w:p>
        </w:tc>
      </w:tr>
      <w:tr>
        <w:trPr>
          <w:cantSplit/>
        </w:trPr>
        <w:tc>
          <w:tcPr>
            <w:tcW w:type="dxa" w:w="9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8"/>
              </w:rPr>
              <w:t>4.1</w:t>
            </w:r>
          </w:p>
        </w:tc>
        <w:tc>
          <w:tcPr>
            <w:tcW w:type="dxa" w:w="64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8"/>
              </w:rPr>
              <w:t>PraDCT and PrakritM2M system architecture</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8"/>
              </w:rPr>
              <w:t>6</w:t>
            </w:r>
          </w:p>
        </w:tc>
      </w:tr>
      <w:tr>
        <w:trPr>
          <w:cantSplit/>
        </w:trPr>
        <w:tc>
          <w:tcPr>
            <w:tcW w:type="dxa" w:w="9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8"/>
              </w:rPr>
              <w:t>4.2</w:t>
            </w:r>
          </w:p>
        </w:tc>
        <w:tc>
          <w:tcPr>
            <w:tcW w:type="dxa" w:w="64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8"/>
              </w:rPr>
              <w:t>Directional checkpoint transfer sequence</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8"/>
              </w:rPr>
              <w:t>8</w:t>
            </w:r>
          </w:p>
        </w:tc>
      </w:tr>
      <w:tr>
        <w:trPr>
          <w:cantSplit/>
        </w:trPr>
        <w:tc>
          <w:tcPr>
            <w:tcW w:type="dxa" w:w="9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8"/>
              </w:rPr>
              <w:t>4.3</w:t>
            </w:r>
          </w:p>
        </w:tc>
        <w:tc>
          <w:tcPr>
            <w:tcW w:type="dxa" w:w="64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8"/>
              </w:rPr>
              <w:t>Synthetic candidate generation and stability filtering</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8"/>
              </w:rPr>
              <w:t>9</w:t>
            </w:r>
          </w:p>
        </w:tc>
      </w:tr>
      <w:tr>
        <w:trPr>
          <w:cantSplit/>
        </w:trPr>
        <w:tc>
          <w:tcPr>
            <w:tcW w:type="dxa" w:w="9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8"/>
              </w:rPr>
              <w:t>4.4</w:t>
            </w:r>
          </w:p>
        </w:tc>
        <w:tc>
          <w:tcPr>
            <w:tcW w:type="dxa" w:w="6400"/>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b w:val="0"/>
                <w:color w:val="000000"/>
                <w:sz w:val="18"/>
              </w:rPr>
              <w:t>Automatic evaluation results</w:t>
            </w:r>
          </w:p>
        </w:tc>
        <w:tc>
          <w:tcPr>
            <w:tcW w:type="dxa" w:w="800"/>
            <w:vAlign w:val="center"/>
            <w:tcMar>
              <w:top w:w="80" w:type="dxa"/>
              <w:start w:w="90" w:type="dxa"/>
              <w:bottom w:w="80" w:type="dxa"/>
              <w:end w:w="90" w:type="dxa"/>
            </w:tcMar>
          </w:tcPr>
          <w:p>
            <w:pPr>
              <w:spacing w:before="0" w:after="0" w:line="240" w:lineRule="auto"/>
              <w:jc w:val="center"/>
            </w:pPr>
            <w:r>
              <w:rPr>
                <w:rFonts w:ascii="Times New Roman" w:hAnsi="Times New Roman" w:eastAsia="Times New Roman"/>
                <w:b w:val="0"/>
                <w:color w:val="000000"/>
                <w:sz w:val="18"/>
              </w:rPr>
              <w:t>11</w:t>
            </w:r>
          </w:p>
        </w:tc>
      </w:tr>
    </w:tbl>
    <w:p>
      <w:pPr>
        <w:sectPr>
          <w:footerReference w:type="default" r:id="rId14"/>
          <w:pgSz w:w="11906" w:h="16838"/>
          <w:pgMar w:top="1080" w:right="1440" w:bottom="1440" w:left="2160" w:header="504" w:footer="504" w:gutter="0"/>
          <w:pgNumType w:start="4" w:fmt="lowerRoman"/>
          <w:cols w:space="720"/>
        </w:sectPr>
      </w:pPr>
    </w:p>
    <w:p>
      <w:pPr>
        <w:spacing w:before="0" w:after="0" w:line="24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7086600" cy="10026253"/>
            <wp:docPr id="4" name="Picture 4" descr="Internship completion certificate supplied for inclusion in the report" title="Internship completion certificate supplied for inclusion in the report"/>
            <wp:cNvGraphicFramePr>
              <a:graphicFrameLocks noChangeAspect="1"/>
            </wp:cNvGraphicFramePr>
            <a:graphic>
              <a:graphicData uri="http://schemas.openxmlformats.org/drawingml/2006/picture">
                <pic:pic>
                  <pic:nvPicPr>
                    <pic:cNvPr id="0" name="supplied-completion-certificate.png"/>
                    <pic:cNvPicPr/>
                  </pic:nvPicPr>
                  <pic:blipFill>
                    <a:blip r:embed="rId16"/>
                    <a:stretch>
                      <a:fillRect/>
                    </a:stretch>
                  </pic:blipFill>
                  <pic:spPr>
                    <a:xfrm>
                      <a:off x="0" y="0"/>
                      <a:ext cx="7086600" cy="10026253"/>
                    </a:xfrm>
                    <a:prstGeom prst="rect"/>
                  </pic:spPr>
                </pic:pic>
              </a:graphicData>
            </a:graphic>
          </wp:inline>
        </w:drawing>
      </w:r>
    </w:p>
    <w:p>
      <w:pPr>
        <w:sectPr>
          <w:footerReference w:type="default" r:id="rId15"/>
          <w:pgSz w:w="11906" w:h="16838"/>
          <w:pgMar w:top="360" w:right="360" w:bottom="360" w:left="360" w:header="504" w:footer="504" w:gutter="0"/>
          <w:pgNumType w:start="4" w:fmt="lowerRoman"/>
          <w:cols w:space="720"/>
        </w:sectPr>
      </w:pPr>
    </w:p>
    <w:p>
      <w:pPr>
        <w:pStyle w:val="Heading1"/>
        <w:keepNext/>
        <w:keepLines/>
        <w:pageBreakBefore w:val="0"/>
        <w:spacing w:before="0" w:after="120" w:line="240" w:lineRule="auto"/>
        <w:jc w:val="center"/>
        <w:outlineLvl w:val="0"/>
      </w:pPr>
      <w:r>
        <w:rPr>
          <w:rFonts w:ascii="Times New Roman" w:hAnsi="Times New Roman" w:eastAsia="Times New Roman"/>
          <w:b/>
          <w:color w:val="000000"/>
          <w:sz w:val="28"/>
        </w:rPr>
        <w:t>INTERNSHIP OFFER LETTER - SUPPORTING DOCUMENT</w:t>
      </w:r>
    </w:p>
    <w:p>
      <w:pPr>
        <w:spacing w:before="0" w:after="0"/>
        <w:jc w:val="center"/>
      </w:pPr>
      <w:r>
        <w:rPr>
          <w:rFonts w:ascii="Times New Roman" w:hAnsi="Times New Roman" w:eastAsia="Times New Roman"/>
          <w:color w:val="000000"/>
          <w:sz w:val="24"/>
        </w:rPr>
        <w:drawing>
          <wp:inline xmlns:a="http://schemas.openxmlformats.org/drawingml/2006/main" xmlns:pic="http://schemas.openxmlformats.org/drawingml/2006/picture">
            <wp:extent cx="5074920" cy="7181027"/>
            <wp:docPr id="5" name="Picture 5" descr="Internship offer letter issued by IIT Delhi" title="Internship offer letter issued by IIT Delhi"/>
            <wp:cNvGraphicFramePr>
              <a:graphicFrameLocks noChangeAspect="1"/>
            </wp:cNvGraphicFramePr>
            <a:graphic>
              <a:graphicData uri="http://schemas.openxmlformats.org/drawingml/2006/picture">
                <pic:pic>
                  <pic:nvPicPr>
                    <pic:cNvPr id="0" name="internship-offer-letter.png"/>
                    <pic:cNvPicPr/>
                  </pic:nvPicPr>
                  <pic:blipFill>
                    <a:blip r:embed="rId18"/>
                    <a:stretch>
                      <a:fillRect/>
                    </a:stretch>
                  </pic:blipFill>
                  <pic:spPr>
                    <a:xfrm>
                      <a:off x="0" y="0"/>
                      <a:ext cx="5074920" cy="7181027"/>
                    </a:xfrm>
                    <a:prstGeom prst="rect"/>
                  </pic:spPr>
                </pic:pic>
              </a:graphicData>
            </a:graphic>
          </wp:inline>
        </w:drawing>
      </w:r>
    </w:p>
    <w:p>
      <w:pPr>
        <w:sectPr>
          <w:footerReference w:type="default" r:id="rId17"/>
          <w:pgSz w:w="11906" w:h="16838"/>
          <w:pgMar w:top="1080" w:right="1440" w:bottom="1440" w:left="2160" w:header="504" w:footer="504" w:gutter="0"/>
          <w:pgNumType w:start="4" w:fmt="lowerRoman"/>
          <w:cols w:space="720"/>
        </w:sectPr>
      </w:pPr>
    </w:p>
    <w:p>
      <w:pPr>
        <w:pStyle w:val="Heading1"/>
        <w:keepNext/>
        <w:keepLines/>
        <w:pageBreakBefore w:val="0"/>
        <w:spacing w:before="0" w:after="240" w:line="240" w:lineRule="auto"/>
        <w:jc w:val="center"/>
        <w:outlineLvl w:val="0"/>
      </w:pPr>
      <w:r>
        <w:rPr>
          <w:rFonts w:ascii="Times New Roman" w:hAnsi="Times New Roman" w:eastAsia="Times New Roman"/>
          <w:b/>
          <w:color w:val="000000"/>
          <w:sz w:val="28"/>
        </w:rPr>
        <w:t>4. PROJECT DESCRIPTION</w:t>
      </w:r>
    </w:p>
    <w:p>
      <w:pPr>
        <w:pStyle w:val="Heading2"/>
        <w:keepNext/>
        <w:keepLines/>
        <w:pageBreakBefore w:val="0"/>
        <w:spacing w:before="0" w:after="140" w:line="240" w:lineRule="auto"/>
        <w:jc w:val="left"/>
        <w:outlineLvl w:val="1"/>
      </w:pPr>
      <w:r>
        <w:rPr>
          <w:rFonts w:ascii="Times New Roman" w:hAnsi="Times New Roman" w:eastAsia="Times New Roman"/>
          <w:b/>
          <w:color w:val="000000"/>
          <w:sz w:val="24"/>
        </w:rPr>
        <w:t>4.1 Introduction</w:t>
      </w:r>
    </w:p>
    <w:p>
      <w:pPr>
        <w:keepNext w:val="0"/>
        <w:spacing w:line="360" w:lineRule="auto" w:before="0" w:after="120"/>
        <w:ind w:firstLine="432"/>
        <w:jc w:val="both"/>
      </w:pPr>
      <w:r>
        <w:rPr>
          <w:rFonts w:ascii="Times New Roman" w:hAnsi="Times New Roman" w:eastAsia="Times New Roman"/>
          <w:color w:val="000000"/>
          <w:sz w:val="24"/>
        </w:rPr>
        <w:t>Prakrit refers to a historically important group of Middle Indo-Aryan languages associated with literature, inscriptions, dramatic works, Jain traditions, and other historical sources. Its dialectal and grammatical diversity is well documented in linguistic scholarship [18]. Despite this cultural value, Prakrit remains severely under-represented in contemporary natural language processing, where reliable aligned Prakrit-English data are scarce.</w:t>
      </w:r>
    </w:p>
    <w:p>
      <w:pPr>
        <w:keepNext w:val="0"/>
        <w:spacing w:line="360" w:lineRule="auto" w:before="0" w:after="120"/>
        <w:ind w:firstLine="432"/>
        <w:jc w:val="both"/>
      </w:pPr>
      <w:r>
        <w:rPr>
          <w:rFonts w:ascii="Times New Roman" w:hAnsi="Times New Roman" w:eastAsia="Times New Roman"/>
          <w:color w:val="000000"/>
          <w:sz w:val="24"/>
        </w:rPr>
        <w:t>Low-resource machine translation is affected by small parallel corpora, domain mismatch, noisy text, and unstable evaluation [4]. This internship investigated whether pretrained multilingual translation models could be adapted to Prakrit using a curated seed corpus, directional checkpoint transfer, and a separately auditable synthetic-data pipeline.</w:t>
      </w:r>
    </w:p>
    <w:p>
      <w:pPr>
        <w:keepNext w:val="0"/>
        <w:spacing w:line="360" w:lineRule="auto" w:before="0" w:after="120"/>
        <w:ind w:firstLine="432"/>
        <w:jc w:val="both"/>
      </w:pPr>
      <w:r>
        <w:rPr>
          <w:rFonts w:ascii="Times New Roman" w:hAnsi="Times New Roman" w:eastAsia="Times New Roman"/>
          <w:color w:val="000000"/>
          <w:sz w:val="24"/>
        </w:rPr>
        <w:t>PraDCT means Prakrit Directional Checkpoint Transfer. The method first trains a Prakrit-to-English model, selects its best checkpoint, and uses that checkpoint to initialize the reverse English-to-Prakrit direction. PrakritM2M is the model family built by adapting M2M-100-418M [1], with PrakritM2M-P2E and PrakritM2M-E2P denoting the two translation directions.</w:t>
      </w:r>
    </w:p>
    <w:p>
      <w:pPr>
        <w:keepNext w:val="0"/>
        <w:spacing w:line="360" w:lineRule="auto" w:before="0" w:after="120"/>
        <w:ind w:firstLine="432"/>
        <w:jc w:val="both"/>
      </w:pPr>
      <w:r>
        <w:rPr>
          <w:rFonts w:ascii="Times New Roman" w:hAnsi="Times New Roman" w:eastAsia="Times New Roman"/>
          <w:color w:val="000000"/>
          <w:sz w:val="24"/>
        </w:rPr>
        <w:t>The project also included an exploratory Prakrit-to-Sanskrit lexical task, comparisons with NLLB and IndicTrans2, a near-duplicate audit, and large-scale synthetic candidate generation. A recent 2026 preprint independently explored English-to-Prakrit transfer learning with a smaller Maharashtri Prakrit corpus [5]. Accordingly, this report does not claim the first Prakrit translation system; its contribution is a bidirectional M2M-100-based workflow with directional transfer, synthetic-resource filtering, lexical analysis, and explicit evaluation caveats.</w:t>
      </w:r>
    </w:p>
    <w:p>
      <w:pPr>
        <w:pStyle w:val="Heading3"/>
        <w:keepNext/>
        <w:keepLines/>
        <w:pageBreakBefore w:val="0"/>
        <w:spacing w:before="100" w:after="80" w:line="240" w:lineRule="auto"/>
        <w:jc w:val="left"/>
        <w:outlineLvl w:val="2"/>
      </w:pPr>
      <w:r>
        <w:rPr>
          <w:rFonts w:ascii="Times New Roman" w:hAnsi="Times New Roman" w:eastAsia="Times New Roman"/>
          <w:b/>
          <w:color w:val="000000"/>
          <w:sz w:val="24"/>
        </w:rPr>
        <w:t>Major Contributions</w:t>
      </w:r>
    </w:p>
    <w:p>
      <w:pPr>
        <w:spacing w:line="360" w:lineRule="auto" w:after="60"/>
        <w:ind w:left="360" w:hanging="216"/>
        <w:jc w:val="both"/>
      </w:pPr>
      <w:r>
        <w:rPr>
          <w:rFonts w:ascii="Times New Roman" w:hAnsi="Times New Roman" w:eastAsia="Times New Roman"/>
          <w:color w:val="000000"/>
          <w:sz w:val="24"/>
        </w:rPr>
        <w:t>• Construction and cleaning of a 1,696-pair Prakrit-English seed corpus.</w:t>
      </w:r>
    </w:p>
    <w:p>
      <w:pPr>
        <w:spacing w:line="360" w:lineRule="auto" w:after="60"/>
        <w:ind w:left="360" w:hanging="216"/>
        <w:jc w:val="both"/>
      </w:pPr>
      <w:r>
        <w:rPr>
          <w:rFonts w:ascii="Times New Roman" w:hAnsi="Times New Roman" w:eastAsia="Times New Roman"/>
          <w:color w:val="000000"/>
          <w:sz w:val="24"/>
        </w:rPr>
        <w:t>• Development of Prakrit-to-English and English-to-Prakrit model variants.</w:t>
      </w:r>
    </w:p>
    <w:p>
      <w:pPr>
        <w:spacing w:line="360" w:lineRule="auto" w:after="60"/>
        <w:ind w:left="360" w:hanging="216"/>
        <w:jc w:val="both"/>
      </w:pPr>
      <w:r>
        <w:rPr>
          <w:rFonts w:ascii="Times New Roman" w:hAnsi="Times New Roman" w:eastAsia="Times New Roman"/>
          <w:color w:val="000000"/>
          <w:sz w:val="24"/>
        </w:rPr>
        <w:t>• Directional checkpoint transfer from the selected P2E checkpoint to E2P training.</w:t>
      </w:r>
    </w:p>
    <w:p>
      <w:pPr>
        <w:spacing w:line="360" w:lineRule="auto" w:after="60"/>
        <w:ind w:left="360" w:hanging="216"/>
        <w:jc w:val="both"/>
      </w:pPr>
      <w:r>
        <w:rPr>
          <w:rFonts w:ascii="Times New Roman" w:hAnsi="Times New Roman" w:eastAsia="Times New Roman"/>
          <w:color w:val="000000"/>
          <w:sz w:val="24"/>
        </w:rPr>
        <w:t>• Generation and filtering of a 1.51-million-record synthetic resource.</w:t>
      </w:r>
    </w:p>
    <w:p>
      <w:pPr>
        <w:spacing w:line="360" w:lineRule="auto" w:after="60"/>
        <w:ind w:left="360" w:hanging="216"/>
        <w:jc w:val="both"/>
      </w:pPr>
      <w:r>
        <w:rPr>
          <w:rFonts w:ascii="Times New Roman" w:hAnsi="Times New Roman" w:eastAsia="Times New Roman"/>
          <w:color w:val="000000"/>
          <w:sz w:val="24"/>
        </w:rPr>
        <w:t>• Exploratory Prakrit-to-Sanskrit lexical mapping, near-duplicate auditing, and reproducibility analysis.</w:t>
      </w:r>
    </w:p>
    <w:p>
      <w:pPr>
        <w:pStyle w:val="Heading2"/>
        <w:keepNext/>
        <w:keepLines/>
        <w:pageBreakBefore w:val="0"/>
        <w:spacing w:before="160" w:after="120" w:line="240" w:lineRule="auto"/>
        <w:jc w:val="left"/>
        <w:outlineLvl w:val="1"/>
      </w:pPr>
      <w:r>
        <w:rPr>
          <w:rFonts w:ascii="Times New Roman" w:hAnsi="Times New Roman" w:eastAsia="Times New Roman"/>
          <w:b/>
          <w:color w:val="000000"/>
          <w:sz w:val="24"/>
        </w:rPr>
        <w:t>4.2 Organization Profile</w:t>
      </w:r>
    </w:p>
    <w:p>
      <w:pPr>
        <w:keepNext w:val="0"/>
        <w:spacing w:line="360" w:lineRule="auto" w:before="0" w:after="120"/>
        <w:ind w:firstLine="432"/>
        <w:jc w:val="both"/>
      </w:pPr>
      <w:r>
        <w:rPr>
          <w:rFonts w:ascii="Times New Roman" w:hAnsi="Times New Roman" w:eastAsia="Times New Roman"/>
          <w:color w:val="000000"/>
          <w:sz w:val="24"/>
        </w:rPr>
        <w:t>The internship was conducted on campus at the Machine Intelligence Signals and Networks (MISN) Lab, Indian Institute of Technology Delhi, from 20 May 2026 to 20 August 2026. The laboratory is associated with the Department of Electrical Engineering and operates in an interdisciplinary environment that connects machine learning, signal processing, optimization, networks, and intelligent systems.</w:t>
      </w:r>
    </w:p>
    <w:p>
      <w:pPr>
        <w:keepNext w:val="0"/>
        <w:spacing w:line="360" w:lineRule="auto" w:before="0" w:after="120"/>
        <w:ind w:firstLine="432"/>
        <w:jc w:val="both"/>
      </w:pPr>
      <w:r>
        <w:rPr>
          <w:rFonts w:ascii="Times New Roman" w:hAnsi="Times New Roman" w:eastAsia="Times New Roman"/>
          <w:color w:val="000000"/>
          <w:sz w:val="24"/>
        </w:rPr>
        <w:t>The internship was supervised by Dr. Sandeep Kumar, Associate Professor at IIT Delhi. The official offer letter also identifies his joint appointment with the Yardi School of Artificial Intelligence and affiliation with the Bharti School of Telecommunication Technology and Management. This setting supported research-oriented experimentation, documentation, and critical interpretation of results.</w:t>
      </w:r>
    </w:p>
    <w:p>
      <w:pPr>
        <w:keepNext/>
        <w:spacing w:before="140" w:after="80"/>
        <w:jc w:val="left"/>
      </w:pPr>
      <w:r>
        <w:rPr>
          <w:rFonts w:ascii="Times New Roman" w:hAnsi="Times New Roman" w:eastAsia="Times New Roman"/>
          <w:b/>
          <w:color w:val="000000"/>
          <w:sz w:val="23"/>
        </w:rPr>
        <w:t>Table 4.1: Internship placement details</w:t>
      </w:r>
    </w:p>
    <w:tbl>
      <w:tblPr>
        <w:tblW w:type="dxa" w:w="8100"/>
        <w:jc w:val="left"/>
        <w:tblLayout w:type="fixed"/>
        <w:tblLook w:firstColumn="1" w:firstRow="1" w:lastColumn="0" w:lastRow="0" w:noHBand="0" w:noVBand="1" w:val="04A0"/>
        <w:tblInd w:w="120" w:type="dxa"/>
        <w:tblBorders>
          <w:top w:val="single" w:sz="6" w:space="0" w:color="7A7F87"/>
          <w:left w:val="single" w:sz="6" w:space="0" w:color="7A7F87"/>
          <w:bottom w:val="single" w:sz="6" w:space="0" w:color="7A7F87"/>
          <w:right w:val="single" w:sz="6" w:space="0" w:color="7A7F87"/>
          <w:insideH w:val="single" w:sz="6" w:space="0" w:color="7A7F87"/>
          <w:insideV w:val="single" w:sz="6" w:space="0" w:color="7A7F87"/>
        </w:tblBorders>
      </w:tblPr>
      <w:tblGrid>
        <w:gridCol w:w="1900"/>
        <w:gridCol w:w="6200"/>
      </w:tblGrid>
      <w:tr>
        <w:trPr>
          <w:cantSplit/>
          <w:tblHeader w:val="true"/>
        </w:trPr>
        <w:tc>
          <w:tcPr>
            <w:tcW w:type="dxa" w:w="19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9"/>
              </w:rPr>
              <w:t>Field</w:t>
            </w:r>
          </w:p>
        </w:tc>
        <w:tc>
          <w:tcPr>
            <w:tcW w:type="dxa" w:w="62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9"/>
              </w:rPr>
              <w:t>Details</w:t>
            </w:r>
          </w:p>
        </w:tc>
      </w:tr>
      <w:tr>
        <w:tc>
          <w:tcPr>
            <w:tcW w:type="dxa" w:w="1900"/>
          </w:tcPr>
          <w:p>
            <w:pPr>
              <w:spacing w:before="0" w:after="0" w:line="240" w:lineRule="auto"/>
              <w:jc w:val="left"/>
            </w:pPr>
            <w:r>
              <w:rPr>
                <w:rFonts w:ascii="Times New Roman" w:hAnsi="Times New Roman" w:eastAsia="Times New Roman"/>
                <w:color w:val="000000"/>
                <w:sz w:val="19"/>
              </w:rPr>
              <w:t>Student</w:t>
            </w:r>
          </w:p>
        </w:tc>
        <w:tc>
          <w:tcPr>
            <w:tcW w:type="dxa" w:w="6200"/>
          </w:tcPr>
          <w:p>
            <w:pPr>
              <w:spacing w:before="0" w:after="0" w:line="240" w:lineRule="auto"/>
              <w:jc w:val="left"/>
            </w:pPr>
            <w:r>
              <w:rPr>
                <w:rFonts w:ascii="Times New Roman" w:hAnsi="Times New Roman" w:eastAsia="Times New Roman"/>
                <w:color w:val="000000"/>
                <w:sz w:val="19"/>
              </w:rPr>
              <w:t>Himansh Raj</w:t>
            </w:r>
          </w:p>
        </w:tc>
      </w:tr>
      <w:tr>
        <w:tc>
          <w:tcPr>
            <w:tcW w:type="dxa" w:w="1900"/>
          </w:tcPr>
          <w:p>
            <w:pPr>
              <w:spacing w:before="0" w:after="0" w:line="240" w:lineRule="auto"/>
              <w:jc w:val="left"/>
            </w:pPr>
            <w:r>
              <w:rPr>
                <w:rFonts w:ascii="Times New Roman" w:hAnsi="Times New Roman" w:eastAsia="Times New Roman"/>
                <w:color w:val="000000"/>
                <w:sz w:val="19"/>
              </w:rPr>
              <w:t>Host organization</w:t>
            </w:r>
          </w:p>
        </w:tc>
        <w:tc>
          <w:tcPr>
            <w:tcW w:type="dxa" w:w="6200"/>
          </w:tcPr>
          <w:p>
            <w:pPr>
              <w:spacing w:before="0" w:after="0" w:line="240" w:lineRule="auto"/>
              <w:jc w:val="left"/>
            </w:pPr>
            <w:r>
              <w:rPr>
                <w:rFonts w:ascii="Times New Roman" w:hAnsi="Times New Roman" w:eastAsia="Times New Roman"/>
                <w:color w:val="000000"/>
                <w:sz w:val="19"/>
              </w:rPr>
              <w:t>Machine Intelligence Signals and Networks (MISN) Lab, IIT Delhi</w:t>
            </w:r>
          </w:p>
        </w:tc>
      </w:tr>
      <w:tr>
        <w:tc>
          <w:tcPr>
            <w:tcW w:type="dxa" w:w="1900"/>
          </w:tcPr>
          <w:p>
            <w:pPr>
              <w:spacing w:before="0" w:after="0" w:line="240" w:lineRule="auto"/>
              <w:jc w:val="left"/>
            </w:pPr>
            <w:r>
              <w:rPr>
                <w:rFonts w:ascii="Times New Roman" w:hAnsi="Times New Roman" w:eastAsia="Times New Roman"/>
                <w:color w:val="000000"/>
                <w:sz w:val="19"/>
              </w:rPr>
              <w:t>Department</w:t>
            </w:r>
          </w:p>
        </w:tc>
        <w:tc>
          <w:tcPr>
            <w:tcW w:type="dxa" w:w="6200"/>
          </w:tcPr>
          <w:p>
            <w:pPr>
              <w:spacing w:before="0" w:after="0" w:line="240" w:lineRule="auto"/>
              <w:jc w:val="left"/>
            </w:pPr>
            <w:r>
              <w:rPr>
                <w:rFonts w:ascii="Times New Roman" w:hAnsi="Times New Roman" w:eastAsia="Times New Roman"/>
                <w:color w:val="000000"/>
                <w:sz w:val="19"/>
              </w:rPr>
              <w:t>Department of Electrical Engineering</w:t>
            </w:r>
          </w:p>
        </w:tc>
      </w:tr>
      <w:tr>
        <w:tc>
          <w:tcPr>
            <w:tcW w:type="dxa" w:w="1900"/>
          </w:tcPr>
          <w:p>
            <w:pPr>
              <w:spacing w:before="0" w:after="0" w:line="240" w:lineRule="auto"/>
              <w:jc w:val="left"/>
            </w:pPr>
            <w:r>
              <w:rPr>
                <w:rFonts w:ascii="Times New Roman" w:hAnsi="Times New Roman" w:eastAsia="Times New Roman"/>
                <w:color w:val="000000"/>
                <w:sz w:val="19"/>
              </w:rPr>
              <w:t>Supervisor</w:t>
            </w:r>
          </w:p>
        </w:tc>
        <w:tc>
          <w:tcPr>
            <w:tcW w:type="dxa" w:w="6200"/>
          </w:tcPr>
          <w:p>
            <w:pPr>
              <w:spacing w:before="0" w:after="0" w:line="240" w:lineRule="auto"/>
              <w:jc w:val="left"/>
            </w:pPr>
            <w:r>
              <w:rPr>
                <w:rFonts w:ascii="Times New Roman" w:hAnsi="Times New Roman" w:eastAsia="Times New Roman"/>
                <w:color w:val="000000"/>
                <w:sz w:val="19"/>
              </w:rPr>
              <w:t>Dr. Sandeep Kumar, Associate Professor</w:t>
            </w:r>
          </w:p>
        </w:tc>
      </w:tr>
      <w:tr>
        <w:tc>
          <w:tcPr>
            <w:tcW w:type="dxa" w:w="1900"/>
          </w:tcPr>
          <w:p>
            <w:pPr>
              <w:spacing w:before="0" w:after="0" w:line="240" w:lineRule="auto"/>
              <w:jc w:val="left"/>
            </w:pPr>
            <w:r>
              <w:rPr>
                <w:rFonts w:ascii="Times New Roman" w:hAnsi="Times New Roman" w:eastAsia="Times New Roman"/>
                <w:color w:val="000000"/>
                <w:sz w:val="19"/>
              </w:rPr>
              <w:t>Internship period</w:t>
            </w:r>
          </w:p>
        </w:tc>
        <w:tc>
          <w:tcPr>
            <w:tcW w:type="dxa" w:w="6200"/>
          </w:tcPr>
          <w:p>
            <w:pPr>
              <w:spacing w:before="0" w:after="0" w:line="240" w:lineRule="auto"/>
              <w:jc w:val="left"/>
            </w:pPr>
            <w:r>
              <w:rPr>
                <w:rFonts w:ascii="Times New Roman" w:hAnsi="Times New Roman" w:eastAsia="Times New Roman"/>
                <w:color w:val="000000"/>
                <w:sz w:val="19"/>
              </w:rPr>
              <w:t>20 May 2026 to 20 August 2026</w:t>
            </w:r>
          </w:p>
        </w:tc>
      </w:tr>
      <w:tr>
        <w:tc>
          <w:tcPr>
            <w:tcW w:type="dxa" w:w="1900"/>
          </w:tcPr>
          <w:p>
            <w:pPr>
              <w:spacing w:before="0" w:after="0" w:line="240" w:lineRule="auto"/>
              <w:jc w:val="left"/>
            </w:pPr>
            <w:r>
              <w:rPr>
                <w:rFonts w:ascii="Times New Roman" w:hAnsi="Times New Roman" w:eastAsia="Times New Roman"/>
                <w:color w:val="000000"/>
                <w:sz w:val="19"/>
              </w:rPr>
              <w:t>Mode</w:t>
            </w:r>
          </w:p>
        </w:tc>
        <w:tc>
          <w:tcPr>
            <w:tcW w:type="dxa" w:w="6200"/>
          </w:tcPr>
          <w:p>
            <w:pPr>
              <w:spacing w:before="0" w:after="0" w:line="240" w:lineRule="auto"/>
              <w:jc w:val="left"/>
            </w:pPr>
            <w:r>
              <w:rPr>
                <w:rFonts w:ascii="Times New Roman" w:hAnsi="Times New Roman" w:eastAsia="Times New Roman"/>
                <w:color w:val="000000"/>
                <w:sz w:val="19"/>
              </w:rPr>
              <w:t>On campus at IIT Delhi, Hauz Khas, New Delhi</w:t>
            </w:r>
          </w:p>
        </w:tc>
      </w:tr>
    </w:tbl>
    <w:p>
      <w:pPr>
        <w:spacing w:after="40"/>
      </w:pPr>
    </w:p>
    <w:p>
      <w:pPr>
        <w:spacing w:before="120" w:after="160" w:line="312" w:lineRule="auto"/>
        <w:ind w:left="259" w:right="115"/>
        <w:jc w:val="both"/>
        <w:shd w:fill="EAF5FB"/>
        <w:pBdr>
          <w:left w:val="single" w:sz="18" w:space="10" w:color="3D8DFF"/>
        </w:pBdr>
      </w:pPr>
      <w:r>
        <w:rPr>
          <w:rFonts w:ascii="Times New Roman" w:hAnsi="Times New Roman" w:eastAsia="Times New Roman"/>
          <w:i/>
          <w:color w:val="20324A"/>
          <w:sz w:val="24"/>
        </w:rPr>
        <w:t>Administrative note: the supplied offer letter records the appointment title "Agentic Systems for Recommendations." In accordance with the academic submission request, this report documents the Prakrit machine translation research work selected for internship evaluation.</w:t>
      </w:r>
    </w:p>
    <w:p>
      <w:pPr>
        <w:pStyle w:val="Heading2"/>
        <w:keepNext/>
        <w:keepLines/>
        <w:pageBreakBefore/>
        <w:spacing w:before="160" w:after="120" w:line="240" w:lineRule="auto"/>
        <w:jc w:val="left"/>
        <w:outlineLvl w:val="1"/>
      </w:pPr>
      <w:r>
        <w:rPr>
          <w:rFonts w:ascii="Times New Roman" w:hAnsi="Times New Roman" w:eastAsia="Times New Roman"/>
          <w:b/>
          <w:color w:val="000000"/>
          <w:sz w:val="24"/>
        </w:rPr>
        <w:t>4.3 Problem Statement</w:t>
      </w:r>
    </w:p>
    <w:p>
      <w:pPr>
        <w:keepNext w:val="0"/>
        <w:spacing w:line="360" w:lineRule="auto" w:before="0" w:after="120"/>
        <w:ind w:firstLine="432"/>
        <w:jc w:val="both"/>
      </w:pPr>
      <w:r>
        <w:rPr>
          <w:rFonts w:ascii="Times New Roman" w:hAnsi="Times New Roman" w:eastAsia="Times New Roman"/>
          <w:color w:val="000000"/>
          <w:sz w:val="24"/>
        </w:rPr>
        <w:t>Modern neural machine translation normally depends on large, clean, and representative parallel corpora. Available Prakrit resources are small, fragmented, inconsistent in script and orthography, and drawn from different dialectal or editorial traditions. These properties make standard supervised training unreliable and complicate the interpretation of automatic evaluation scores.</w:t>
      </w:r>
    </w:p>
    <w:p>
      <w:pPr>
        <w:spacing w:line="360" w:lineRule="auto" w:after="60"/>
        <w:ind w:left="360" w:hanging="216"/>
        <w:jc w:val="both"/>
      </w:pPr>
      <w:r>
        <w:rPr>
          <w:rFonts w:ascii="Times New Roman" w:hAnsi="Times New Roman" w:eastAsia="Times New Roman"/>
          <w:color w:val="000000"/>
          <w:sz w:val="24"/>
        </w:rPr>
        <w:t>• Very little aligned Prakrit-English training data is publicly available.</w:t>
      </w:r>
    </w:p>
    <w:p>
      <w:pPr>
        <w:spacing w:line="360" w:lineRule="auto" w:after="60"/>
        <w:ind w:left="360" w:hanging="216"/>
        <w:jc w:val="both"/>
      </w:pPr>
      <w:r>
        <w:rPr>
          <w:rFonts w:ascii="Times New Roman" w:hAnsi="Times New Roman" w:eastAsia="Times New Roman"/>
          <w:color w:val="000000"/>
          <w:sz w:val="24"/>
        </w:rPr>
        <w:t>• Prakrit is not directly supported by many mainstream multilingual translation systems.</w:t>
      </w:r>
    </w:p>
    <w:p>
      <w:pPr>
        <w:spacing w:line="360" w:lineRule="auto" w:after="60"/>
        <w:ind w:left="360" w:hanging="216"/>
        <w:jc w:val="both"/>
      </w:pPr>
      <w:r>
        <w:rPr>
          <w:rFonts w:ascii="Times New Roman" w:hAnsi="Times New Roman" w:eastAsia="Times New Roman"/>
          <w:color w:val="000000"/>
          <w:sz w:val="24"/>
        </w:rPr>
        <w:t>• IAST and Devanagari representations require consistent normalization.</w:t>
      </w:r>
    </w:p>
    <w:p>
      <w:pPr>
        <w:spacing w:line="360" w:lineRule="auto" w:after="60"/>
        <w:ind w:left="360" w:hanging="216"/>
        <w:jc w:val="both"/>
      </w:pPr>
      <w:r>
        <w:rPr>
          <w:rFonts w:ascii="Times New Roman" w:hAnsi="Times New Roman" w:eastAsia="Times New Roman"/>
          <w:color w:val="000000"/>
          <w:sz w:val="24"/>
        </w:rPr>
        <w:t>• Dialectal and orthographic variation can produce multiple valid surface forms.</w:t>
      </w:r>
    </w:p>
    <w:p>
      <w:pPr>
        <w:spacing w:line="360" w:lineRule="auto" w:after="60"/>
        <w:ind w:left="360" w:hanging="216"/>
        <w:jc w:val="both"/>
      </w:pPr>
      <w:r>
        <w:rPr>
          <w:rFonts w:ascii="Times New Roman" w:hAnsi="Times New Roman" w:eastAsia="Times New Roman"/>
          <w:color w:val="000000"/>
          <w:sz w:val="24"/>
        </w:rPr>
        <w:t>• Small evaluation sets are vulnerable to near-duplicate leakage and score inflation.</w:t>
      </w:r>
    </w:p>
    <w:p>
      <w:pPr>
        <w:spacing w:line="360" w:lineRule="auto" w:after="60"/>
        <w:ind w:left="360" w:hanging="216"/>
        <w:jc w:val="both"/>
      </w:pPr>
      <w:r>
        <w:rPr>
          <w:rFonts w:ascii="Times New Roman" w:hAnsi="Times New Roman" w:eastAsia="Times New Roman"/>
          <w:color w:val="000000"/>
          <w:sz w:val="24"/>
        </w:rPr>
        <w:t>• Synthetic translations may increase volume while also reproducing model errors at scale.</w:t>
      </w:r>
    </w:p>
    <w:p>
      <w:pPr>
        <w:spacing w:line="360" w:lineRule="auto" w:after="60"/>
        <w:ind w:left="360" w:hanging="216"/>
        <w:jc w:val="both"/>
      </w:pPr>
      <w:r>
        <w:rPr>
          <w:rFonts w:ascii="Times New Roman" w:hAnsi="Times New Roman" w:eastAsia="Times New Roman"/>
          <w:color w:val="000000"/>
          <w:sz w:val="24"/>
        </w:rPr>
        <w:t>• Exact-match evaluation is harsh for lexical outputs with legitimate morphological variation.</w:t>
      </w:r>
    </w:p>
    <w:p>
      <w:pPr>
        <w:spacing w:before="120" w:after="160" w:line="312" w:lineRule="auto"/>
        <w:ind w:left="259" w:right="115"/>
        <w:jc w:val="both"/>
        <w:shd w:fill="EAF5FB"/>
        <w:pBdr>
          <w:left w:val="single" w:sz="18" w:space="10" w:color="3D8DFF"/>
        </w:pBdr>
      </w:pPr>
      <w:r>
        <w:rPr>
          <w:rFonts w:ascii="Times New Roman" w:hAnsi="Times New Roman" w:eastAsia="Times New Roman"/>
          <w:i/>
          <w:color w:val="20324A"/>
          <w:sz w:val="24"/>
        </w:rPr>
        <w:t>Central research question: Can a multilingual model be adapted to Prakrit using a small curated corpus, directional checkpoint transfer, and quality-controlled synthetic generation while openly documenting the limitations of the resulting evaluation?</w:t>
      </w:r>
    </w:p>
    <w:p>
      <w:pPr>
        <w:pStyle w:val="Heading2"/>
        <w:keepNext/>
        <w:keepLines/>
        <w:pageBreakBefore w:val="0"/>
        <w:spacing w:before="160" w:after="120" w:line="240" w:lineRule="auto"/>
        <w:jc w:val="left"/>
        <w:outlineLvl w:val="1"/>
      </w:pPr>
      <w:r>
        <w:rPr>
          <w:rFonts w:ascii="Times New Roman" w:hAnsi="Times New Roman" w:eastAsia="Times New Roman"/>
          <w:b/>
          <w:color w:val="000000"/>
          <w:sz w:val="24"/>
        </w:rPr>
        <w:t>4.4 Project Objectives</w:t>
      </w:r>
    </w:p>
    <w:p>
      <w:pPr>
        <w:spacing w:line="360" w:lineRule="auto" w:after="60"/>
        <w:ind w:left="360" w:hanging="216"/>
        <w:jc w:val="both"/>
      </w:pPr>
      <w:r>
        <w:rPr>
          <w:rFonts w:ascii="Times New Roman" w:hAnsi="Times New Roman" w:eastAsia="Times New Roman"/>
          <w:color w:val="000000"/>
          <w:sz w:val="24"/>
        </w:rPr>
        <w:t>1. Study multilingual and low-resource neural machine translation methods.</w:t>
      </w:r>
    </w:p>
    <w:p>
      <w:pPr>
        <w:spacing w:line="360" w:lineRule="auto" w:after="60"/>
        <w:ind w:left="360" w:hanging="216"/>
        <w:jc w:val="both"/>
      </w:pPr>
      <w:r>
        <w:rPr>
          <w:rFonts w:ascii="Times New Roman" w:hAnsi="Times New Roman" w:eastAsia="Times New Roman"/>
          <w:color w:val="000000"/>
          <w:sz w:val="24"/>
        </w:rPr>
        <w:t>2. Acquire, normalize, and consolidate publicly available Prakrit-English resources.</w:t>
      </w:r>
    </w:p>
    <w:p>
      <w:pPr>
        <w:spacing w:line="360" w:lineRule="auto" w:after="60"/>
        <w:ind w:left="360" w:hanging="216"/>
        <w:jc w:val="both"/>
      </w:pPr>
      <w:r>
        <w:rPr>
          <w:rFonts w:ascii="Times New Roman" w:hAnsi="Times New Roman" w:eastAsia="Times New Roman"/>
          <w:color w:val="000000"/>
          <w:sz w:val="24"/>
        </w:rPr>
        <w:t>3. Create a cleaned seed corpus with documented filtering and splitting decisions.</w:t>
      </w:r>
    </w:p>
    <w:p>
      <w:pPr>
        <w:spacing w:line="360" w:lineRule="auto" w:after="60"/>
        <w:ind w:left="360" w:hanging="216"/>
        <w:jc w:val="both"/>
      </w:pPr>
      <w:r>
        <w:rPr>
          <w:rFonts w:ascii="Times New Roman" w:hAnsi="Times New Roman" w:eastAsia="Times New Roman"/>
          <w:color w:val="000000"/>
          <w:sz w:val="24"/>
        </w:rPr>
        <w:t>4. Train a Prakrit-to-English model using multilingual transfer learning.</w:t>
      </w:r>
    </w:p>
    <w:p>
      <w:pPr>
        <w:spacing w:line="360" w:lineRule="auto" w:after="60"/>
        <w:ind w:left="360" w:hanging="216"/>
        <w:jc w:val="both"/>
      </w:pPr>
      <w:r>
        <w:rPr>
          <w:rFonts w:ascii="Times New Roman" w:hAnsi="Times New Roman" w:eastAsia="Times New Roman"/>
          <w:color w:val="000000"/>
          <w:sz w:val="24"/>
        </w:rPr>
        <w:t>5. Initialize English-to-Prakrit training from the selected P2E checkpoint through PraDCT.</w:t>
      </w:r>
    </w:p>
    <w:p>
      <w:pPr>
        <w:spacing w:line="360" w:lineRule="auto" w:after="60"/>
        <w:ind w:left="360" w:hanging="216"/>
        <w:jc w:val="both"/>
      </w:pPr>
      <w:r>
        <w:rPr>
          <w:rFonts w:ascii="Times New Roman" w:hAnsi="Times New Roman" w:eastAsia="Times New Roman"/>
          <w:color w:val="000000"/>
          <w:sz w:val="24"/>
        </w:rPr>
        <w:t>6. Compare the selected system with exploratory NLLB and IndicTrans2 experiments.</w:t>
      </w:r>
    </w:p>
    <w:p>
      <w:pPr>
        <w:spacing w:line="360" w:lineRule="auto" w:after="60"/>
        <w:ind w:left="360" w:hanging="216"/>
        <w:jc w:val="both"/>
      </w:pPr>
      <w:r>
        <w:rPr>
          <w:rFonts w:ascii="Times New Roman" w:hAnsi="Times New Roman" w:eastAsia="Times New Roman"/>
          <w:color w:val="000000"/>
          <w:sz w:val="24"/>
        </w:rPr>
        <w:t>7. Generate three synthetic Prakrit candidates for each sentence in a large English pool.</w:t>
      </w:r>
    </w:p>
    <w:p>
      <w:pPr>
        <w:spacing w:line="360" w:lineRule="auto" w:after="60"/>
        <w:ind w:left="360" w:hanging="216"/>
        <w:jc w:val="both"/>
      </w:pPr>
      <w:r>
        <w:rPr>
          <w:rFonts w:ascii="Times New Roman" w:hAnsi="Times New Roman" w:eastAsia="Times New Roman"/>
          <w:color w:val="000000"/>
          <w:sz w:val="24"/>
        </w:rPr>
        <w:t>8. Filter synthetic records with a transparent candidate-stability criterion.</w:t>
      </w:r>
    </w:p>
    <w:p>
      <w:pPr>
        <w:spacing w:line="360" w:lineRule="auto" w:after="60"/>
        <w:ind w:left="360" w:hanging="216"/>
        <w:jc w:val="both"/>
      </w:pPr>
      <w:r>
        <w:rPr>
          <w:rFonts w:ascii="Times New Roman" w:hAnsi="Times New Roman" w:eastAsia="Times New Roman"/>
          <w:color w:val="000000"/>
          <w:sz w:val="24"/>
        </w:rPr>
        <w:t>9. Explore Prakrit-to-Sanskrit lexical mapping as an auxiliary task.</w:t>
      </w:r>
    </w:p>
    <w:p>
      <w:pPr>
        <w:spacing w:line="360" w:lineRule="auto" w:after="60"/>
        <w:ind w:left="360" w:hanging="216"/>
        <w:jc w:val="both"/>
      </w:pPr>
      <w:r>
        <w:rPr>
          <w:rFonts w:ascii="Times New Roman" w:hAnsi="Times New Roman" w:eastAsia="Times New Roman"/>
          <w:color w:val="000000"/>
          <w:sz w:val="24"/>
        </w:rPr>
        <w:t>10. Evaluate translation and lexical outputs while auditing leakage and reproducibility risks.</w:t>
      </w:r>
    </w:p>
    <w:p>
      <w:pPr>
        <w:spacing w:line="360" w:lineRule="auto" w:after="60"/>
        <w:ind w:left="360" w:hanging="216"/>
        <w:jc w:val="both"/>
      </w:pPr>
      <w:r>
        <w:rPr>
          <w:rFonts w:ascii="Times New Roman" w:hAnsi="Times New Roman" w:eastAsia="Times New Roman"/>
          <w:color w:val="000000"/>
          <w:sz w:val="24"/>
        </w:rPr>
        <w:t>11. Document successful, unsuccessful, and incomplete experimental paths for future work.</w:t>
      </w:r>
    </w:p>
    <w:p>
      <w:pPr>
        <w:pStyle w:val="Heading2"/>
        <w:keepNext/>
        <w:keepLines/>
        <w:pageBreakBefore w:val="0"/>
        <w:spacing w:before="160" w:after="120" w:line="240" w:lineRule="auto"/>
        <w:jc w:val="left"/>
        <w:outlineLvl w:val="1"/>
      </w:pPr>
      <w:r>
        <w:rPr>
          <w:rFonts w:ascii="Times New Roman" w:hAnsi="Times New Roman" w:eastAsia="Times New Roman"/>
          <w:b/>
          <w:color w:val="000000"/>
          <w:sz w:val="24"/>
        </w:rPr>
        <w:t>4.5 Scope of the Project</w:t>
      </w:r>
    </w:p>
    <w:p>
      <w:pPr>
        <w:keepNext w:val="0"/>
        <w:spacing w:line="360" w:lineRule="auto" w:before="0" w:after="120"/>
        <w:ind w:firstLine="432"/>
        <w:jc w:val="both"/>
      </w:pPr>
      <w:r>
        <w:rPr>
          <w:rFonts w:ascii="Times New Roman" w:hAnsi="Times New Roman" w:eastAsia="Times New Roman"/>
          <w:color w:val="000000"/>
          <w:sz w:val="24"/>
        </w:rPr>
        <w:t>The project focused on sentence-level text translation between Prakrit and English, together with an auxiliary Prakrit-to-Sanskrit lexical experiment. The main computational scope was normalized Devanagari text, multilingual Transformer adaptation, synthetic candidate generation, and automatic evaluation. It was designed as a research baseline rather than a production service.</w:t>
      </w: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Included in Scope</w:t>
      </w:r>
    </w:p>
    <w:p>
      <w:pPr>
        <w:spacing w:line="360" w:lineRule="auto" w:after="60"/>
        <w:ind w:left="360" w:hanging="216"/>
        <w:jc w:val="both"/>
      </w:pPr>
      <w:r>
        <w:rPr>
          <w:rFonts w:ascii="Times New Roman" w:hAnsi="Times New Roman" w:eastAsia="Times New Roman"/>
          <w:color w:val="000000"/>
          <w:sz w:val="24"/>
        </w:rPr>
        <w:t>• Dataset acquisition, cleaning, script normalization, and exact deduplication.</w:t>
      </w:r>
    </w:p>
    <w:p>
      <w:pPr>
        <w:spacing w:line="360" w:lineRule="auto" w:after="60"/>
        <w:ind w:left="360" w:hanging="216"/>
        <w:jc w:val="both"/>
      </w:pPr>
      <w:r>
        <w:rPr>
          <w:rFonts w:ascii="Times New Roman" w:hAnsi="Times New Roman" w:eastAsia="Times New Roman"/>
          <w:color w:val="000000"/>
          <w:sz w:val="24"/>
        </w:rPr>
        <w:t>• Construction and audit of training and evaluation splits.</w:t>
      </w:r>
    </w:p>
    <w:p>
      <w:pPr>
        <w:spacing w:line="360" w:lineRule="auto" w:after="60"/>
        <w:ind w:left="360" w:hanging="216"/>
        <w:jc w:val="both"/>
      </w:pPr>
      <w:r>
        <w:rPr>
          <w:rFonts w:ascii="Times New Roman" w:hAnsi="Times New Roman" w:eastAsia="Times New Roman"/>
          <w:color w:val="000000"/>
          <w:sz w:val="24"/>
        </w:rPr>
        <w:t>• Full fine-tuning of M2M-100-418M and exploratory low-rank adaptation.</w:t>
      </w:r>
    </w:p>
    <w:p>
      <w:pPr>
        <w:spacing w:line="360" w:lineRule="auto" w:after="60"/>
        <w:ind w:left="360" w:hanging="216"/>
        <w:jc w:val="both"/>
      </w:pPr>
      <w:r>
        <w:rPr>
          <w:rFonts w:ascii="Times New Roman" w:hAnsi="Times New Roman" w:eastAsia="Times New Roman"/>
          <w:color w:val="000000"/>
          <w:sz w:val="24"/>
        </w:rPr>
        <w:t>• Bidirectional Prakrit-English translation and directional checkpoint transfer.</w:t>
      </w:r>
    </w:p>
    <w:p>
      <w:pPr>
        <w:spacing w:line="360" w:lineRule="auto" w:after="60"/>
        <w:ind w:left="360" w:hanging="216"/>
        <w:jc w:val="both"/>
      </w:pPr>
      <w:r>
        <w:rPr>
          <w:rFonts w:ascii="Times New Roman" w:hAnsi="Times New Roman" w:eastAsia="Times New Roman"/>
          <w:color w:val="000000"/>
          <w:sz w:val="24"/>
        </w:rPr>
        <w:t>• Large-scale inference, candidate-stability filtering, and rejected-record archiving.</w:t>
      </w:r>
    </w:p>
    <w:p>
      <w:pPr>
        <w:spacing w:line="360" w:lineRule="auto" w:after="60"/>
        <w:ind w:left="360" w:hanging="216"/>
        <w:jc w:val="both"/>
      </w:pPr>
      <w:r>
        <w:rPr>
          <w:rFonts w:ascii="Times New Roman" w:hAnsi="Times New Roman" w:eastAsia="Times New Roman"/>
          <w:color w:val="000000"/>
          <w:sz w:val="24"/>
        </w:rPr>
        <w:t>• BLEU, exact-match, longest-common-subsequence, and prefix-based evaluation.</w:t>
      </w: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Outside the Scope</w:t>
      </w:r>
    </w:p>
    <w:p>
      <w:pPr>
        <w:spacing w:line="360" w:lineRule="auto" w:after="60"/>
        <w:ind w:left="360" w:hanging="216"/>
        <w:jc w:val="both"/>
      </w:pPr>
      <w:r>
        <w:rPr>
          <w:rFonts w:ascii="Times New Roman" w:hAnsi="Times New Roman" w:eastAsia="Times New Roman"/>
          <w:color w:val="000000"/>
          <w:sz w:val="24"/>
        </w:rPr>
        <w:t>• Optical character recognition of manuscripts or handwritten source recovery.</w:t>
      </w:r>
    </w:p>
    <w:p>
      <w:pPr>
        <w:spacing w:line="360" w:lineRule="auto" w:after="60"/>
        <w:ind w:left="360" w:hanging="216"/>
        <w:jc w:val="both"/>
      </w:pPr>
      <w:r>
        <w:rPr>
          <w:rFonts w:ascii="Times New Roman" w:hAnsi="Times New Roman" w:eastAsia="Times New Roman"/>
          <w:color w:val="000000"/>
          <w:sz w:val="24"/>
        </w:rPr>
        <w:t>• A universal model covering every Prakrit dialect, historical period, or editorial convention.</w:t>
      </w:r>
    </w:p>
    <w:p>
      <w:pPr>
        <w:spacing w:line="360" w:lineRule="auto" w:after="60"/>
        <w:ind w:left="360" w:hanging="216"/>
        <w:jc w:val="both"/>
      </w:pPr>
      <w:r>
        <w:rPr>
          <w:rFonts w:ascii="Times New Roman" w:hAnsi="Times New Roman" w:eastAsia="Times New Roman"/>
          <w:color w:val="000000"/>
          <w:sz w:val="24"/>
        </w:rPr>
        <w:t>• A commercial translation service or authoritative replacement for philological interpretation.</w:t>
      </w:r>
    </w:p>
    <w:p>
      <w:pPr>
        <w:spacing w:line="360" w:lineRule="auto" w:after="60"/>
        <w:ind w:left="360" w:hanging="216"/>
        <w:jc w:val="both"/>
      </w:pPr>
      <w:r>
        <w:rPr>
          <w:rFonts w:ascii="Times New Roman" w:hAnsi="Times New Roman" w:eastAsia="Times New Roman"/>
          <w:color w:val="000000"/>
          <w:sz w:val="24"/>
        </w:rPr>
        <w:t>• Large-scale expert human evaluation or claims of complete semantic and grammatical accuracy.</w:t>
      </w:r>
    </w:p>
    <w:p>
      <w:pPr>
        <w:pStyle w:val="Heading2"/>
        <w:keepNext/>
        <w:keepLines/>
        <w:pageBreakBefore/>
        <w:spacing w:before="160" w:after="120" w:line="240" w:lineRule="auto"/>
        <w:jc w:val="left"/>
        <w:outlineLvl w:val="1"/>
      </w:pPr>
      <w:r>
        <w:rPr>
          <w:rFonts w:ascii="Times New Roman" w:hAnsi="Times New Roman" w:eastAsia="Times New Roman"/>
          <w:b/>
          <w:color w:val="000000"/>
          <w:sz w:val="24"/>
        </w:rPr>
        <w:t>4.6 Technologies and Tools Used</w:t>
      </w:r>
    </w:p>
    <w:p>
      <w:pPr>
        <w:keepNext w:val="0"/>
        <w:spacing w:line="360" w:lineRule="auto" w:before="0" w:after="120"/>
        <w:ind w:firstLine="432"/>
        <w:jc w:val="both"/>
      </w:pPr>
      <w:r>
        <w:rPr>
          <w:rFonts w:ascii="Times New Roman" w:hAnsi="Times New Roman" w:eastAsia="Times New Roman"/>
          <w:color w:val="000000"/>
          <w:sz w:val="24"/>
        </w:rPr>
        <w:t>The implementation combined open-source machine-learning libraries, multilingual translation checkpoints, and data-processing tools. Only functions supported by the available project records are listed; exact package versions should be copied from the original environment before archival.</w:t>
      </w:r>
    </w:p>
    <w:p>
      <w:pPr>
        <w:keepNext/>
        <w:spacing w:before="140" w:after="80"/>
        <w:jc w:val="left"/>
      </w:pPr>
      <w:r>
        <w:rPr>
          <w:rFonts w:ascii="Times New Roman" w:hAnsi="Times New Roman" w:eastAsia="Times New Roman"/>
          <w:b/>
          <w:color w:val="000000"/>
          <w:sz w:val="23"/>
        </w:rPr>
        <w:t>Table 4.2: Technologies and tools used</w:t>
      </w:r>
    </w:p>
    <w:tbl>
      <w:tblPr>
        <w:tblW w:type="dxa" w:w="8100"/>
        <w:jc w:val="left"/>
        <w:tblLayout w:type="fixed"/>
        <w:tblLook w:firstColumn="1" w:firstRow="1" w:lastColumn="0" w:lastRow="0" w:noHBand="0" w:noVBand="1" w:val="04A0"/>
        <w:tblInd w:w="120" w:type="dxa"/>
        <w:tblBorders>
          <w:top w:val="single" w:sz="6" w:space="0" w:color="7A7F87"/>
          <w:left w:val="single" w:sz="6" w:space="0" w:color="7A7F87"/>
          <w:bottom w:val="single" w:sz="6" w:space="0" w:color="7A7F87"/>
          <w:right w:val="single" w:sz="6" w:space="0" w:color="7A7F87"/>
          <w:insideH w:val="single" w:sz="6" w:space="0" w:color="7A7F87"/>
          <w:insideV w:val="single" w:sz="6" w:space="0" w:color="7A7F87"/>
        </w:tblBorders>
      </w:tblPr>
      <w:tblGrid>
        <w:gridCol w:w="2500"/>
        <w:gridCol w:w="5600"/>
      </w:tblGrid>
      <w:tr>
        <w:trPr>
          <w:cantSplit/>
          <w:tblHeader w:val="true"/>
        </w:trPr>
        <w:tc>
          <w:tcPr>
            <w:tcW w:type="dxa" w:w="25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8"/>
              </w:rPr>
              <w:t>Technology / Tool</w:t>
            </w:r>
          </w:p>
        </w:tc>
        <w:tc>
          <w:tcPr>
            <w:tcW w:type="dxa" w:w="56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8"/>
              </w:rPr>
              <w:t>Role in the Project</w:t>
            </w:r>
          </w:p>
        </w:tc>
      </w:tr>
      <w:tr>
        <w:tc>
          <w:tcPr>
            <w:tcW w:type="dxa" w:w="2500"/>
          </w:tcPr>
          <w:p>
            <w:pPr>
              <w:spacing w:before="0" w:after="0" w:line="240" w:lineRule="auto"/>
              <w:jc w:val="left"/>
            </w:pPr>
            <w:r>
              <w:rPr>
                <w:rFonts w:ascii="Times New Roman" w:hAnsi="Times New Roman" w:eastAsia="Times New Roman"/>
                <w:color w:val="000000"/>
                <w:sz w:val="18"/>
              </w:rPr>
              <w:t>Python</w:t>
            </w:r>
          </w:p>
        </w:tc>
        <w:tc>
          <w:tcPr>
            <w:tcW w:type="dxa" w:w="5600"/>
          </w:tcPr>
          <w:p>
            <w:pPr>
              <w:spacing w:before="0" w:after="0" w:line="240" w:lineRule="auto"/>
              <w:jc w:val="left"/>
            </w:pPr>
            <w:r>
              <w:rPr>
                <w:rFonts w:ascii="Times New Roman" w:hAnsi="Times New Roman" w:eastAsia="Times New Roman"/>
                <w:color w:val="000000"/>
                <w:sz w:val="18"/>
              </w:rPr>
              <w:t>Data preparation, training, evaluation, and experiment automation</w:t>
            </w:r>
          </w:p>
        </w:tc>
      </w:tr>
      <w:tr>
        <w:tc>
          <w:tcPr>
            <w:tcW w:type="dxa" w:w="2500"/>
          </w:tcPr>
          <w:p>
            <w:pPr>
              <w:spacing w:before="0" w:after="0" w:line="240" w:lineRule="auto"/>
              <w:jc w:val="left"/>
            </w:pPr>
            <w:r>
              <w:rPr>
                <w:rFonts w:ascii="Times New Roman" w:hAnsi="Times New Roman" w:eastAsia="Times New Roman"/>
                <w:color w:val="000000"/>
                <w:sz w:val="18"/>
              </w:rPr>
              <w:t>PyTorch</w:t>
            </w:r>
          </w:p>
        </w:tc>
        <w:tc>
          <w:tcPr>
            <w:tcW w:type="dxa" w:w="5600"/>
          </w:tcPr>
          <w:p>
            <w:pPr>
              <w:spacing w:before="0" w:after="0" w:line="240" w:lineRule="auto"/>
              <w:jc w:val="left"/>
            </w:pPr>
            <w:r>
              <w:rPr>
                <w:rFonts w:ascii="Times New Roman" w:hAnsi="Times New Roman" w:eastAsia="Times New Roman"/>
                <w:color w:val="000000"/>
                <w:sz w:val="18"/>
              </w:rPr>
              <w:t>Neural model training and GPU execution</w:t>
            </w:r>
          </w:p>
        </w:tc>
      </w:tr>
      <w:tr>
        <w:tc>
          <w:tcPr>
            <w:tcW w:type="dxa" w:w="2500"/>
          </w:tcPr>
          <w:p>
            <w:pPr>
              <w:spacing w:before="0" w:after="0" w:line="240" w:lineRule="auto"/>
              <w:jc w:val="left"/>
            </w:pPr>
            <w:r>
              <w:rPr>
                <w:rFonts w:ascii="Times New Roman" w:hAnsi="Times New Roman" w:eastAsia="Times New Roman"/>
                <w:color w:val="000000"/>
                <w:sz w:val="18"/>
              </w:rPr>
              <w:t>Hugging Face Transformers</w:t>
            </w:r>
          </w:p>
        </w:tc>
        <w:tc>
          <w:tcPr>
            <w:tcW w:type="dxa" w:w="5600"/>
          </w:tcPr>
          <w:p>
            <w:pPr>
              <w:spacing w:before="0" w:after="0" w:line="240" w:lineRule="auto"/>
              <w:jc w:val="left"/>
            </w:pPr>
            <w:r>
              <w:rPr>
                <w:rFonts w:ascii="Times New Roman" w:hAnsi="Times New Roman" w:eastAsia="Times New Roman"/>
                <w:color w:val="000000"/>
                <w:sz w:val="18"/>
              </w:rPr>
              <w:t>Loading and fine-tuning multilingual sequence-to-sequence models [12]</w:t>
            </w:r>
          </w:p>
        </w:tc>
      </w:tr>
      <w:tr>
        <w:tc>
          <w:tcPr>
            <w:tcW w:type="dxa" w:w="2500"/>
          </w:tcPr>
          <w:p>
            <w:pPr>
              <w:spacing w:before="0" w:after="0" w:line="240" w:lineRule="auto"/>
              <w:jc w:val="left"/>
            </w:pPr>
            <w:r>
              <w:rPr>
                <w:rFonts w:ascii="Times New Roman" w:hAnsi="Times New Roman" w:eastAsia="Times New Roman"/>
                <w:color w:val="000000"/>
                <w:sz w:val="18"/>
              </w:rPr>
              <w:t>Hugging Face Datasets</w:t>
            </w:r>
          </w:p>
        </w:tc>
        <w:tc>
          <w:tcPr>
            <w:tcW w:type="dxa" w:w="5600"/>
          </w:tcPr>
          <w:p>
            <w:pPr>
              <w:spacing w:before="0" w:after="0" w:line="240" w:lineRule="auto"/>
              <w:jc w:val="left"/>
            </w:pPr>
            <w:r>
              <w:rPr>
                <w:rFonts w:ascii="Times New Roman" w:hAnsi="Times New Roman" w:eastAsia="Times New Roman"/>
                <w:color w:val="000000"/>
                <w:sz w:val="18"/>
              </w:rPr>
              <w:t>Dataset loading, transformation, and caching</w:t>
            </w:r>
          </w:p>
        </w:tc>
      </w:tr>
      <w:tr>
        <w:tc>
          <w:tcPr>
            <w:tcW w:type="dxa" w:w="2500"/>
          </w:tcPr>
          <w:p>
            <w:pPr>
              <w:spacing w:before="0" w:after="0" w:line="240" w:lineRule="auto"/>
              <w:jc w:val="left"/>
            </w:pPr>
            <w:r>
              <w:rPr>
                <w:rFonts w:ascii="Times New Roman" w:hAnsi="Times New Roman" w:eastAsia="Times New Roman"/>
                <w:color w:val="000000"/>
                <w:sz w:val="18"/>
              </w:rPr>
              <w:t>M2M-100-418M</w:t>
            </w:r>
          </w:p>
        </w:tc>
        <w:tc>
          <w:tcPr>
            <w:tcW w:type="dxa" w:w="5600"/>
          </w:tcPr>
          <w:p>
            <w:pPr>
              <w:spacing w:before="0" w:after="0" w:line="240" w:lineRule="auto"/>
              <w:jc w:val="left"/>
            </w:pPr>
            <w:r>
              <w:rPr>
                <w:rFonts w:ascii="Times New Roman" w:hAnsi="Times New Roman" w:eastAsia="Times New Roman"/>
                <w:color w:val="000000"/>
                <w:sz w:val="18"/>
              </w:rPr>
              <w:t>Final multilingual base checkpoint for PrakritM2M [1]</w:t>
            </w:r>
          </w:p>
        </w:tc>
      </w:tr>
      <w:tr>
        <w:tc>
          <w:tcPr>
            <w:tcW w:type="dxa" w:w="2500"/>
          </w:tcPr>
          <w:p>
            <w:pPr>
              <w:spacing w:before="0" w:after="0" w:line="240" w:lineRule="auto"/>
              <w:jc w:val="left"/>
            </w:pPr>
            <w:r>
              <w:rPr>
                <w:rFonts w:ascii="Times New Roman" w:hAnsi="Times New Roman" w:eastAsia="Times New Roman"/>
                <w:color w:val="000000"/>
                <w:sz w:val="18"/>
              </w:rPr>
              <w:t>NLLB-200</w:t>
            </w:r>
          </w:p>
        </w:tc>
        <w:tc>
          <w:tcPr>
            <w:tcW w:type="dxa" w:w="5600"/>
          </w:tcPr>
          <w:p>
            <w:pPr>
              <w:spacing w:before="0" w:after="0" w:line="240" w:lineRule="auto"/>
              <w:jc w:val="left"/>
            </w:pPr>
            <w:r>
              <w:rPr>
                <w:rFonts w:ascii="Times New Roman" w:hAnsi="Times New Roman" w:eastAsia="Times New Roman"/>
                <w:color w:val="000000"/>
                <w:sz w:val="18"/>
              </w:rPr>
              <w:t>Exploratory multilingual baseline [2]</w:t>
            </w:r>
          </w:p>
        </w:tc>
      </w:tr>
      <w:tr>
        <w:tc>
          <w:tcPr>
            <w:tcW w:type="dxa" w:w="2500"/>
          </w:tcPr>
          <w:p>
            <w:pPr>
              <w:spacing w:before="0" w:after="0" w:line="240" w:lineRule="auto"/>
              <w:jc w:val="left"/>
            </w:pPr>
            <w:r>
              <w:rPr>
                <w:rFonts w:ascii="Times New Roman" w:hAnsi="Times New Roman" w:eastAsia="Times New Roman"/>
                <w:color w:val="000000"/>
                <w:sz w:val="18"/>
              </w:rPr>
              <w:t>IndicTrans2</w:t>
            </w:r>
          </w:p>
        </w:tc>
        <w:tc>
          <w:tcPr>
            <w:tcW w:type="dxa" w:w="5600"/>
          </w:tcPr>
          <w:p>
            <w:pPr>
              <w:spacing w:before="0" w:after="0" w:line="240" w:lineRule="auto"/>
              <w:jc w:val="left"/>
            </w:pPr>
            <w:r>
              <w:rPr>
                <w:rFonts w:ascii="Times New Roman" w:hAnsi="Times New Roman" w:eastAsia="Times New Roman"/>
                <w:color w:val="000000"/>
                <w:sz w:val="18"/>
              </w:rPr>
              <w:t>Exploratory Indic-language transfer baseline [3]</w:t>
            </w:r>
          </w:p>
        </w:tc>
      </w:tr>
      <w:tr>
        <w:tc>
          <w:tcPr>
            <w:tcW w:type="dxa" w:w="2500"/>
          </w:tcPr>
          <w:p>
            <w:pPr>
              <w:spacing w:before="0" w:after="0" w:line="240" w:lineRule="auto"/>
              <w:jc w:val="left"/>
            </w:pPr>
            <w:r>
              <w:rPr>
                <w:rFonts w:ascii="Times New Roman" w:hAnsi="Times New Roman" w:eastAsia="Times New Roman"/>
                <w:color w:val="000000"/>
                <w:sz w:val="18"/>
              </w:rPr>
              <w:t>LoRA</w:t>
            </w:r>
          </w:p>
        </w:tc>
        <w:tc>
          <w:tcPr>
            <w:tcW w:type="dxa" w:w="5600"/>
          </w:tcPr>
          <w:p>
            <w:pPr>
              <w:spacing w:before="0" w:after="0" w:line="240" w:lineRule="auto"/>
              <w:jc w:val="left"/>
            </w:pPr>
            <w:r>
              <w:rPr>
                <w:rFonts w:ascii="Times New Roman" w:hAnsi="Times New Roman" w:eastAsia="Times New Roman"/>
                <w:color w:val="000000"/>
                <w:sz w:val="18"/>
              </w:rPr>
              <w:t>Parameter-efficient exploratory adaptation [10]</w:t>
            </w:r>
          </w:p>
        </w:tc>
      </w:tr>
      <w:tr>
        <w:tc>
          <w:tcPr>
            <w:tcW w:type="dxa" w:w="2500"/>
          </w:tcPr>
          <w:p>
            <w:pPr>
              <w:spacing w:before="0" w:after="0" w:line="240" w:lineRule="auto"/>
              <w:jc w:val="left"/>
            </w:pPr>
            <w:r>
              <w:rPr>
                <w:rFonts w:ascii="Times New Roman" w:hAnsi="Times New Roman" w:eastAsia="Times New Roman"/>
                <w:color w:val="000000"/>
                <w:sz w:val="18"/>
              </w:rPr>
              <w:t>CTranslate2</w:t>
            </w:r>
          </w:p>
        </w:tc>
        <w:tc>
          <w:tcPr>
            <w:tcW w:type="dxa" w:w="5600"/>
          </w:tcPr>
          <w:p>
            <w:pPr>
              <w:spacing w:before="0" w:after="0" w:line="240" w:lineRule="auto"/>
              <w:jc w:val="left"/>
            </w:pPr>
            <w:r>
              <w:rPr>
                <w:rFonts w:ascii="Times New Roman" w:hAnsi="Times New Roman" w:eastAsia="Times New Roman"/>
                <w:color w:val="000000"/>
                <w:sz w:val="18"/>
              </w:rPr>
              <w:t>Efficient batched inference for synthetic generation [11]</w:t>
            </w:r>
          </w:p>
        </w:tc>
      </w:tr>
      <w:tr>
        <w:tc>
          <w:tcPr>
            <w:tcW w:type="dxa" w:w="2500"/>
          </w:tcPr>
          <w:p>
            <w:pPr>
              <w:spacing w:before="0" w:after="0" w:line="240" w:lineRule="auto"/>
              <w:jc w:val="left"/>
            </w:pPr>
            <w:r>
              <w:rPr>
                <w:rFonts w:ascii="Times New Roman" w:hAnsi="Times New Roman" w:eastAsia="Times New Roman"/>
                <w:color w:val="000000"/>
                <w:sz w:val="18"/>
              </w:rPr>
              <w:t>SentencePiece</w:t>
            </w:r>
          </w:p>
        </w:tc>
        <w:tc>
          <w:tcPr>
            <w:tcW w:type="dxa" w:w="5600"/>
          </w:tcPr>
          <w:p>
            <w:pPr>
              <w:spacing w:before="0" w:after="0" w:line="240" w:lineRule="auto"/>
              <w:jc w:val="left"/>
            </w:pPr>
            <w:r>
              <w:rPr>
                <w:rFonts w:ascii="Times New Roman" w:hAnsi="Times New Roman" w:eastAsia="Times New Roman"/>
                <w:color w:val="000000"/>
                <w:sz w:val="18"/>
              </w:rPr>
              <w:t>Subword tokenization used by multilingual models [9]</w:t>
            </w:r>
          </w:p>
        </w:tc>
      </w:tr>
      <w:tr>
        <w:tc>
          <w:tcPr>
            <w:tcW w:type="dxa" w:w="2500"/>
          </w:tcPr>
          <w:p>
            <w:pPr>
              <w:spacing w:before="0" w:after="0" w:line="240" w:lineRule="auto"/>
              <w:jc w:val="left"/>
            </w:pPr>
            <w:r>
              <w:rPr>
                <w:rFonts w:ascii="Times New Roman" w:hAnsi="Times New Roman" w:eastAsia="Times New Roman"/>
                <w:color w:val="000000"/>
                <w:sz w:val="18"/>
              </w:rPr>
              <w:t>FP16 mixed precision</w:t>
            </w:r>
          </w:p>
        </w:tc>
        <w:tc>
          <w:tcPr>
            <w:tcW w:type="dxa" w:w="5600"/>
          </w:tcPr>
          <w:p>
            <w:pPr>
              <w:spacing w:before="0" w:after="0" w:line="240" w:lineRule="auto"/>
              <w:jc w:val="left"/>
            </w:pPr>
            <w:r>
              <w:rPr>
                <w:rFonts w:ascii="Times New Roman" w:hAnsi="Times New Roman" w:eastAsia="Times New Roman"/>
                <w:color w:val="000000"/>
                <w:sz w:val="18"/>
              </w:rPr>
              <w:t>Reduced memory use and accelerated training</w:t>
            </w:r>
          </w:p>
        </w:tc>
      </w:tr>
      <w:tr>
        <w:tc>
          <w:tcPr>
            <w:tcW w:type="dxa" w:w="2500"/>
          </w:tcPr>
          <w:p>
            <w:pPr>
              <w:spacing w:before="0" w:after="0" w:line="240" w:lineRule="auto"/>
              <w:jc w:val="left"/>
            </w:pPr>
            <w:r>
              <w:rPr>
                <w:rFonts w:ascii="Times New Roman" w:hAnsi="Times New Roman" w:eastAsia="Times New Roman"/>
                <w:color w:val="000000"/>
                <w:sz w:val="18"/>
              </w:rPr>
              <w:t>AdamW</w:t>
            </w:r>
          </w:p>
        </w:tc>
        <w:tc>
          <w:tcPr>
            <w:tcW w:type="dxa" w:w="5600"/>
          </w:tcPr>
          <w:p>
            <w:pPr>
              <w:spacing w:before="0" w:after="0" w:line="240" w:lineRule="auto"/>
              <w:jc w:val="left"/>
            </w:pPr>
            <w:r>
              <w:rPr>
                <w:rFonts w:ascii="Times New Roman" w:hAnsi="Times New Roman" w:eastAsia="Times New Roman"/>
                <w:color w:val="000000"/>
                <w:sz w:val="18"/>
              </w:rPr>
              <w:t>Optimizer for full fine-tuning [13]</w:t>
            </w:r>
          </w:p>
        </w:tc>
      </w:tr>
      <w:tr>
        <w:tc>
          <w:tcPr>
            <w:tcW w:type="dxa" w:w="2500"/>
          </w:tcPr>
          <w:p>
            <w:pPr>
              <w:spacing w:before="0" w:after="0" w:line="240" w:lineRule="auto"/>
              <w:jc w:val="left"/>
            </w:pPr>
            <w:r>
              <w:rPr>
                <w:rFonts w:ascii="Times New Roman" w:hAnsi="Times New Roman" w:eastAsia="Times New Roman"/>
                <w:color w:val="000000"/>
                <w:sz w:val="18"/>
              </w:rPr>
              <w:t>BLEU / SacreBLEU</w:t>
            </w:r>
          </w:p>
        </w:tc>
        <w:tc>
          <w:tcPr>
            <w:tcW w:type="dxa" w:w="5600"/>
          </w:tcPr>
          <w:p>
            <w:pPr>
              <w:spacing w:before="0" w:after="0" w:line="240" w:lineRule="auto"/>
              <w:jc w:val="left"/>
            </w:pPr>
            <w:r>
              <w:rPr>
                <w:rFonts w:ascii="Times New Roman" w:hAnsi="Times New Roman" w:eastAsia="Times New Roman"/>
                <w:color w:val="000000"/>
                <w:sz w:val="18"/>
              </w:rPr>
              <w:t>Automatic translation evaluation [7, 8]</w:t>
            </w:r>
          </w:p>
        </w:tc>
      </w:tr>
      <w:tr>
        <w:tc>
          <w:tcPr>
            <w:tcW w:type="dxa" w:w="2500"/>
          </w:tcPr>
          <w:p>
            <w:pPr>
              <w:spacing w:before="0" w:after="0" w:line="240" w:lineRule="auto"/>
              <w:jc w:val="left"/>
            </w:pPr>
            <w:r>
              <w:rPr>
                <w:rFonts w:ascii="Times New Roman" w:hAnsi="Times New Roman" w:eastAsia="Times New Roman"/>
                <w:color w:val="000000"/>
                <w:sz w:val="18"/>
              </w:rPr>
              <w:t>NumPy and pandas</w:t>
            </w:r>
          </w:p>
        </w:tc>
        <w:tc>
          <w:tcPr>
            <w:tcW w:type="dxa" w:w="5600"/>
          </w:tcPr>
          <w:p>
            <w:pPr>
              <w:spacing w:before="0" w:after="0" w:line="240" w:lineRule="auto"/>
              <w:jc w:val="left"/>
            </w:pPr>
            <w:r>
              <w:rPr>
                <w:rFonts w:ascii="Times New Roman" w:hAnsi="Times New Roman" w:eastAsia="Times New Roman"/>
                <w:color w:val="000000"/>
                <w:sz w:val="18"/>
              </w:rPr>
              <w:t>Data analysis and result tabulation</w:t>
            </w:r>
          </w:p>
        </w:tc>
      </w:tr>
      <w:tr>
        <w:tc>
          <w:tcPr>
            <w:tcW w:type="dxa" w:w="2500"/>
          </w:tcPr>
          <w:p>
            <w:pPr>
              <w:spacing w:before="0" w:after="0" w:line="240" w:lineRule="auto"/>
              <w:jc w:val="left"/>
            </w:pPr>
            <w:r>
              <w:rPr>
                <w:rFonts w:ascii="Times New Roman" w:hAnsi="Times New Roman" w:eastAsia="Times New Roman"/>
                <w:color w:val="000000"/>
                <w:sz w:val="18"/>
              </w:rPr>
              <w:t>Git</w:t>
            </w:r>
          </w:p>
        </w:tc>
        <w:tc>
          <w:tcPr>
            <w:tcW w:type="dxa" w:w="5600"/>
          </w:tcPr>
          <w:p>
            <w:pPr>
              <w:spacing w:before="0" w:after="0" w:line="240" w:lineRule="auto"/>
              <w:jc w:val="left"/>
            </w:pPr>
            <w:r>
              <w:rPr>
                <w:rFonts w:ascii="Times New Roman" w:hAnsi="Times New Roman" w:eastAsia="Times New Roman"/>
                <w:color w:val="000000"/>
                <w:sz w:val="18"/>
              </w:rPr>
              <w:t>Source-code and experiment tracking</w:t>
            </w:r>
          </w:p>
        </w:tc>
      </w:tr>
    </w:tbl>
    <w:p>
      <w:pPr>
        <w:spacing w:after="40"/>
      </w:pPr>
    </w:p>
    <w:p>
      <w:pPr>
        <w:pStyle w:val="Heading2"/>
        <w:keepNext/>
        <w:keepLines/>
        <w:pageBreakBefore/>
        <w:spacing w:before="160" w:after="120" w:line="240" w:lineRule="auto"/>
        <w:jc w:val="left"/>
        <w:outlineLvl w:val="1"/>
      </w:pPr>
      <w:r>
        <w:rPr>
          <w:rFonts w:ascii="Times New Roman" w:hAnsi="Times New Roman" w:eastAsia="Times New Roman"/>
          <w:b/>
          <w:color w:val="000000"/>
          <w:sz w:val="24"/>
        </w:rPr>
        <w:t>4.7 System Architecture</w:t>
      </w:r>
    </w:p>
    <w:p>
      <w:pPr>
        <w:keepNext w:val="0"/>
        <w:spacing w:line="360" w:lineRule="auto" w:before="0" w:after="120"/>
        <w:ind w:firstLine="432"/>
        <w:jc w:val="both"/>
      </w:pPr>
      <w:r>
        <w:rPr>
          <w:rFonts w:ascii="Times New Roman" w:hAnsi="Times New Roman" w:eastAsia="Times New Roman"/>
          <w:color w:val="000000"/>
          <w:sz w:val="24"/>
        </w:rPr>
        <w:t>The system was organized into three connected paths. The supervised translation path created the seed corpus and trained the two PrakritM2M directions. The synthetic-resource path used the E2P checkpoint for high-throughput candidate generation and stability filtering. The auxiliary lexical path cleaned Prakrit-Sanskrit mappings and evaluated partial-form learning.</w:t>
      </w:r>
    </w:p>
    <w:p>
      <w:pPr>
        <w:keepNext/>
        <w:spacing w:before="120" w:after="60"/>
        <w:jc w:val="center"/>
      </w:pPr>
      <w:r>
        <w:rPr>
          <w:rFonts w:ascii="Times New Roman" w:hAnsi="Times New Roman" w:eastAsia="Times New Roman"/>
          <w:color w:val="000000"/>
          <w:sz w:val="24"/>
        </w:rPr>
        <w:drawing>
          <wp:inline xmlns:a="http://schemas.openxmlformats.org/drawingml/2006/main" xmlns:pic="http://schemas.openxmlformats.org/drawingml/2006/picture">
            <wp:extent cx="5074920" cy="2600896"/>
            <wp:docPr id="6" name="Picture 6" descr="System architecture showing supervised translation, synthetic-resource, and lexical paths" title="System architecture showing supervised translation, synthetic-resource, and lexical paths"/>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5074920" cy="2600896"/>
                    </a:xfrm>
                    <a:prstGeom prst="rect"/>
                  </pic:spPr>
                </pic:pic>
              </a:graphicData>
            </a:graphic>
          </wp:inline>
        </w:drawing>
      </w:r>
    </w:p>
    <w:p>
      <w:pPr>
        <w:keepLines/>
        <w:spacing w:before="0" w:after="160"/>
        <w:jc w:val="center"/>
      </w:pPr>
      <w:r>
        <w:rPr>
          <w:rFonts w:ascii="Times New Roman" w:hAnsi="Times New Roman" w:eastAsia="Times New Roman"/>
          <w:i/>
          <w:color w:val="000000"/>
          <w:sz w:val="22"/>
        </w:rPr>
        <w:t>Figure 4.1: PraDCT and PrakritM2M system architecture</w:t>
      </w: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Architecture Components</w:t>
      </w:r>
    </w:p>
    <w:p>
      <w:pPr>
        <w:spacing w:line="360" w:lineRule="auto" w:after="60"/>
        <w:ind w:left="360" w:hanging="216"/>
        <w:jc w:val="both"/>
      </w:pPr>
      <w:r>
        <w:rPr>
          <w:rFonts w:ascii="Times New Roman" w:hAnsi="Times New Roman" w:eastAsia="Times New Roman"/>
          <w:color w:val="000000"/>
          <w:sz w:val="24"/>
        </w:rPr>
        <w:t>• Data layer: heterogeneous parallel, monolingual, and lexical resources.</w:t>
      </w:r>
    </w:p>
    <w:p>
      <w:pPr>
        <w:spacing w:line="360" w:lineRule="auto" w:after="60"/>
        <w:ind w:left="360" w:hanging="216"/>
        <w:jc w:val="both"/>
      </w:pPr>
      <w:r>
        <w:rPr>
          <w:rFonts w:ascii="Times New Roman" w:hAnsi="Times New Roman" w:eastAsia="Times New Roman"/>
          <w:color w:val="000000"/>
          <w:sz w:val="24"/>
        </w:rPr>
        <w:t>• Normalization layer: transliteration, language validation, filtering, and exact deduplication.</w:t>
      </w:r>
    </w:p>
    <w:p>
      <w:pPr>
        <w:spacing w:line="360" w:lineRule="auto" w:after="60"/>
        <w:ind w:left="360" w:hanging="216"/>
        <w:jc w:val="both"/>
      </w:pPr>
      <w:r>
        <w:rPr>
          <w:rFonts w:ascii="Times New Roman" w:hAnsi="Times New Roman" w:eastAsia="Times New Roman"/>
          <w:color w:val="000000"/>
          <w:sz w:val="24"/>
        </w:rPr>
        <w:t>• Model layer: M2M-100 adaptation, checkpoint selection, and reverse-direction transfer.</w:t>
      </w:r>
    </w:p>
    <w:p>
      <w:pPr>
        <w:spacing w:line="360" w:lineRule="auto" w:after="60"/>
        <w:ind w:left="360" w:hanging="216"/>
        <w:jc w:val="both"/>
      </w:pPr>
      <w:r>
        <w:rPr>
          <w:rFonts w:ascii="Times New Roman" w:hAnsi="Times New Roman" w:eastAsia="Times New Roman"/>
          <w:color w:val="000000"/>
          <w:sz w:val="24"/>
        </w:rPr>
        <w:t>• Generation layer: CTranslate2 decoding with three candidates per input.</w:t>
      </w:r>
    </w:p>
    <w:p>
      <w:pPr>
        <w:spacing w:line="360" w:lineRule="auto" w:after="60"/>
        <w:ind w:left="360" w:hanging="216"/>
        <w:jc w:val="both"/>
      </w:pPr>
      <w:r>
        <w:rPr>
          <w:rFonts w:ascii="Times New Roman" w:hAnsi="Times New Roman" w:eastAsia="Times New Roman"/>
          <w:color w:val="000000"/>
          <w:sz w:val="24"/>
        </w:rPr>
        <w:t>• Evaluation layer: translation metrics, lexical metrics, near-duplicate audits, and limitation reporting.</w:t>
      </w:r>
    </w:p>
    <w:p>
      <w:pPr>
        <w:pStyle w:val="Heading2"/>
        <w:keepNext/>
        <w:keepLines/>
        <w:pageBreakBefore/>
        <w:spacing w:before="160" w:after="120" w:line="240" w:lineRule="auto"/>
        <w:jc w:val="left"/>
        <w:outlineLvl w:val="1"/>
      </w:pPr>
      <w:r>
        <w:rPr>
          <w:rFonts w:ascii="Times New Roman" w:hAnsi="Times New Roman" w:eastAsia="Times New Roman"/>
          <w:b/>
          <w:color w:val="000000"/>
          <w:sz w:val="24"/>
        </w:rPr>
        <w:t>4.8 Methodology</w:t>
      </w: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4.8.1 Literature and Baseline Study</w:t>
      </w:r>
    </w:p>
    <w:p>
      <w:pPr>
        <w:keepNext w:val="0"/>
        <w:spacing w:line="360" w:lineRule="auto" w:before="0" w:after="120"/>
        <w:ind w:firstLine="432"/>
        <w:jc w:val="both"/>
      </w:pPr>
      <w:r>
        <w:rPr>
          <w:rFonts w:ascii="Times New Roman" w:hAnsi="Times New Roman" w:eastAsia="Times New Roman"/>
          <w:color w:val="000000"/>
          <w:sz w:val="24"/>
        </w:rPr>
        <w:t>M2M-100 demonstrated direct multilingual translation without routing every language pair through English [1]. NLLB subsequently expanded multilingual coverage to 200 languages [2], while IndicTrans2 provided open models for all 22 scheduled Indian languages [3]. These systems motivated transfer learning from multilingual checkpoints instead of training a Prakrit model from random initialization.</w:t>
      </w:r>
    </w:p>
    <w:p>
      <w:pPr>
        <w:keepNext w:val="0"/>
        <w:spacing w:line="360" w:lineRule="auto" w:before="0" w:after="120"/>
        <w:ind w:firstLine="432"/>
        <w:jc w:val="both"/>
      </w:pPr>
      <w:r>
        <w:rPr>
          <w:rFonts w:ascii="Times New Roman" w:hAnsi="Times New Roman" w:eastAsia="Times New Roman"/>
          <w:color w:val="000000"/>
          <w:sz w:val="24"/>
        </w:rPr>
        <w:t>The low-resource MT literature emphasizes multilingual transfer, synthetic data, back-translation, careful filtering, and conservative evaluation [4, 6]. LoRA was explored as a parameter-efficient alternative [10], but the final PrakritM2M result used full M2M-100 fine-tuning. BLEU was retained as the primary translation score, with reporting caveats because BLEU measures n-gram overlap rather than direct semantic correctness [7, 8].</w:t>
      </w: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4.8.2 Data Acquisition and Preprocessing</w:t>
      </w:r>
    </w:p>
    <w:p>
      <w:pPr>
        <w:keepNext w:val="0"/>
        <w:spacing w:line="360" w:lineRule="auto" w:before="0" w:after="120"/>
        <w:ind w:firstLine="432"/>
        <w:jc w:val="both"/>
      </w:pPr>
      <w:r>
        <w:rPr>
          <w:rFonts w:ascii="Times New Roman" w:hAnsi="Times New Roman" w:eastAsia="Times New Roman"/>
          <w:color w:val="000000"/>
          <w:sz w:val="24"/>
        </w:rPr>
        <w:t>The seed parallel corpus combined the Deshika dataset [14] with material collected from prakrit.info [15]. Non-Devanagari IAST content was transliterated to Devanagari, the English side was checked with language identification, punctuation was removed or normalized, records shorter than three characters were dropped, and exact duplicates were removed. Rejected records and intermediate counts were retained for reproducibility.</w:t>
      </w:r>
    </w:p>
    <w:p>
      <w:pPr>
        <w:keepNext/>
        <w:spacing w:before="140" w:after="80"/>
        <w:jc w:val="left"/>
      </w:pPr>
      <w:r>
        <w:rPr>
          <w:rFonts w:ascii="Times New Roman" w:hAnsi="Times New Roman" w:eastAsia="Times New Roman"/>
          <w:b/>
          <w:color w:val="000000"/>
          <w:sz w:val="23"/>
        </w:rPr>
        <w:t>Table 4.3: Curated dataset inventory</w:t>
      </w:r>
    </w:p>
    <w:tbl>
      <w:tblPr>
        <w:tblW w:type="dxa" w:w="8100"/>
        <w:jc w:val="left"/>
        <w:tblLayout w:type="fixed"/>
        <w:tblLook w:firstColumn="1" w:firstRow="1" w:lastColumn="0" w:lastRow="0" w:noHBand="0" w:noVBand="1" w:val="04A0"/>
        <w:tblInd w:w="120" w:type="dxa"/>
        <w:tblBorders>
          <w:top w:val="single" w:sz="6" w:space="0" w:color="7A7F87"/>
          <w:left w:val="single" w:sz="6" w:space="0" w:color="7A7F87"/>
          <w:bottom w:val="single" w:sz="6" w:space="0" w:color="7A7F87"/>
          <w:right w:val="single" w:sz="6" w:space="0" w:color="7A7F87"/>
          <w:insideH w:val="single" w:sz="6" w:space="0" w:color="7A7F87"/>
          <w:insideV w:val="single" w:sz="6" w:space="0" w:color="7A7F87"/>
        </w:tblBorders>
      </w:tblPr>
      <w:tblGrid>
        <w:gridCol w:w="2200"/>
        <w:gridCol w:w="1600"/>
        <w:gridCol w:w="1500"/>
        <w:gridCol w:w="2800"/>
      </w:tblGrid>
      <w:tr>
        <w:trPr>
          <w:cantSplit/>
          <w:tblHeader w:val="true"/>
        </w:trPr>
        <w:tc>
          <w:tcPr>
            <w:tcW w:type="dxa" w:w="22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7"/>
              </w:rPr>
              <w:t>Resource</w:t>
            </w:r>
          </w:p>
        </w:tc>
        <w:tc>
          <w:tcPr>
            <w:tcW w:type="dxa" w:w="16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7"/>
              </w:rPr>
              <w:t>Raw / Source Count</w:t>
            </w:r>
          </w:p>
        </w:tc>
        <w:tc>
          <w:tcPr>
            <w:tcW w:type="dxa" w:w="15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7"/>
              </w:rPr>
              <w:t>Usable Count</w:t>
            </w:r>
          </w:p>
        </w:tc>
        <w:tc>
          <w:tcPr>
            <w:tcW w:type="dxa" w:w="28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7"/>
              </w:rPr>
              <w:t>Project Split or Use</w:t>
            </w:r>
          </w:p>
        </w:tc>
      </w:tr>
      <w:tr>
        <w:tc>
          <w:tcPr>
            <w:tcW w:type="dxa" w:w="2200"/>
          </w:tcPr>
          <w:p>
            <w:pPr>
              <w:spacing w:before="0" w:after="0" w:line="240" w:lineRule="auto"/>
              <w:jc w:val="left"/>
            </w:pPr>
            <w:r>
              <w:rPr>
                <w:rFonts w:ascii="Times New Roman" w:hAnsi="Times New Roman" w:eastAsia="Times New Roman"/>
                <w:color w:val="000000"/>
                <w:sz w:val="17"/>
              </w:rPr>
              <w:t>Deshika Prakrit-English</w:t>
            </w:r>
          </w:p>
        </w:tc>
        <w:tc>
          <w:tcPr>
            <w:tcW w:type="dxa" w:w="1600"/>
          </w:tcPr>
          <w:p>
            <w:pPr>
              <w:spacing w:before="0" w:after="0" w:line="240" w:lineRule="auto"/>
              <w:jc w:val="center"/>
            </w:pPr>
            <w:r>
              <w:rPr>
                <w:rFonts w:ascii="Times New Roman" w:hAnsi="Times New Roman" w:eastAsia="Times New Roman"/>
                <w:color w:val="000000"/>
                <w:sz w:val="17"/>
              </w:rPr>
              <w:t>1,212</w:t>
            </w:r>
          </w:p>
        </w:tc>
        <w:tc>
          <w:tcPr>
            <w:tcW w:type="dxa" w:w="1500"/>
          </w:tcPr>
          <w:p>
            <w:pPr>
              <w:spacing w:before="0" w:after="0" w:line="240" w:lineRule="auto"/>
              <w:jc w:val="center"/>
            </w:pPr>
            <w:r>
              <w:rPr>
                <w:rFonts w:ascii="Times New Roman" w:hAnsi="Times New Roman" w:eastAsia="Times New Roman"/>
                <w:color w:val="000000"/>
                <w:sz w:val="17"/>
              </w:rPr>
              <w:t>1,212</w:t>
            </w:r>
          </w:p>
        </w:tc>
        <w:tc>
          <w:tcPr>
            <w:tcW w:type="dxa" w:w="2800"/>
          </w:tcPr>
          <w:p>
            <w:pPr>
              <w:spacing w:before="0" w:after="0" w:line="240" w:lineRule="auto"/>
              <w:jc w:val="left"/>
            </w:pPr>
            <w:r>
              <w:rPr>
                <w:rFonts w:ascii="Times New Roman" w:hAnsi="Times New Roman" w:eastAsia="Times New Roman"/>
                <w:color w:val="000000"/>
                <w:sz w:val="17"/>
              </w:rPr>
              <w:t>Combined seed corpus</w:t>
            </w:r>
          </w:p>
        </w:tc>
      </w:tr>
      <w:tr>
        <w:tc>
          <w:tcPr>
            <w:tcW w:type="dxa" w:w="2200"/>
          </w:tcPr>
          <w:p>
            <w:pPr>
              <w:spacing w:before="0" w:after="0" w:line="240" w:lineRule="auto"/>
              <w:jc w:val="left"/>
            </w:pPr>
            <w:r>
              <w:rPr>
                <w:rFonts w:ascii="Times New Roman" w:hAnsi="Times New Roman" w:eastAsia="Times New Roman"/>
                <w:color w:val="000000"/>
                <w:sz w:val="17"/>
              </w:rPr>
              <w:t>prakrit.info Prakrit-English</w:t>
            </w:r>
          </w:p>
        </w:tc>
        <w:tc>
          <w:tcPr>
            <w:tcW w:type="dxa" w:w="1600"/>
          </w:tcPr>
          <w:p>
            <w:pPr>
              <w:spacing w:before="0" w:after="0" w:line="240" w:lineRule="auto"/>
              <w:jc w:val="center"/>
            </w:pPr>
            <w:r>
              <w:rPr>
                <w:rFonts w:ascii="Times New Roman" w:hAnsi="Times New Roman" w:eastAsia="Times New Roman"/>
                <w:color w:val="000000"/>
                <w:sz w:val="17"/>
              </w:rPr>
              <w:t>484</w:t>
            </w:r>
          </w:p>
        </w:tc>
        <w:tc>
          <w:tcPr>
            <w:tcW w:type="dxa" w:w="1500"/>
          </w:tcPr>
          <w:p>
            <w:pPr>
              <w:spacing w:before="0" w:after="0" w:line="240" w:lineRule="auto"/>
              <w:jc w:val="center"/>
            </w:pPr>
            <w:r>
              <w:rPr>
                <w:rFonts w:ascii="Times New Roman" w:hAnsi="Times New Roman" w:eastAsia="Times New Roman"/>
                <w:color w:val="000000"/>
                <w:sz w:val="17"/>
              </w:rPr>
              <w:t>484</w:t>
            </w:r>
          </w:p>
        </w:tc>
        <w:tc>
          <w:tcPr>
            <w:tcW w:type="dxa" w:w="2800"/>
          </w:tcPr>
          <w:p>
            <w:pPr>
              <w:spacing w:before="0" w:after="0" w:line="240" w:lineRule="auto"/>
              <w:jc w:val="left"/>
            </w:pPr>
            <w:r>
              <w:rPr>
                <w:rFonts w:ascii="Times New Roman" w:hAnsi="Times New Roman" w:eastAsia="Times New Roman"/>
                <w:color w:val="000000"/>
                <w:sz w:val="17"/>
              </w:rPr>
              <w:t>Combined seed corpus</w:t>
            </w:r>
          </w:p>
        </w:tc>
      </w:tr>
      <w:tr>
        <w:tc>
          <w:tcPr>
            <w:tcW w:type="dxa" w:w="2200"/>
          </w:tcPr>
          <w:p>
            <w:pPr>
              <w:spacing w:before="0" w:after="0" w:line="240" w:lineRule="auto"/>
              <w:jc w:val="left"/>
            </w:pPr>
            <w:r>
              <w:rPr>
                <w:rFonts w:ascii="Times New Roman" w:hAnsi="Times New Roman" w:eastAsia="Times New Roman"/>
                <w:color w:val="000000"/>
                <w:sz w:val="17"/>
              </w:rPr>
              <w:t>Combined parallel seed</w:t>
            </w:r>
          </w:p>
        </w:tc>
        <w:tc>
          <w:tcPr>
            <w:tcW w:type="dxa" w:w="1600"/>
          </w:tcPr>
          <w:p>
            <w:pPr>
              <w:spacing w:before="0" w:after="0" w:line="240" w:lineRule="auto"/>
              <w:jc w:val="center"/>
            </w:pPr>
            <w:r>
              <w:rPr>
                <w:rFonts w:ascii="Times New Roman" w:hAnsi="Times New Roman" w:eastAsia="Times New Roman"/>
                <w:color w:val="000000"/>
                <w:sz w:val="17"/>
              </w:rPr>
              <w:t>1,696</w:t>
            </w:r>
          </w:p>
        </w:tc>
        <w:tc>
          <w:tcPr>
            <w:tcW w:type="dxa" w:w="1500"/>
          </w:tcPr>
          <w:p>
            <w:pPr>
              <w:spacing w:before="0" w:after="0" w:line="240" w:lineRule="auto"/>
              <w:jc w:val="center"/>
            </w:pPr>
            <w:r>
              <w:rPr>
                <w:rFonts w:ascii="Times New Roman" w:hAnsi="Times New Roman" w:eastAsia="Times New Roman"/>
                <w:color w:val="000000"/>
                <w:sz w:val="17"/>
              </w:rPr>
              <w:t>1,696</w:t>
            </w:r>
          </w:p>
        </w:tc>
        <w:tc>
          <w:tcPr>
            <w:tcW w:type="dxa" w:w="2800"/>
          </w:tcPr>
          <w:p>
            <w:pPr>
              <w:spacing w:before="0" w:after="0" w:line="240" w:lineRule="auto"/>
              <w:jc w:val="left"/>
            </w:pPr>
            <w:r>
              <w:rPr>
                <w:rFonts w:ascii="Times New Roman" w:hAnsi="Times New Roman" w:eastAsia="Times New Roman"/>
                <w:color w:val="000000"/>
                <w:sz w:val="17"/>
              </w:rPr>
              <w:t>1,496 train / 200 evaluation</w:t>
            </w:r>
          </w:p>
        </w:tc>
      </w:tr>
      <w:tr>
        <w:tc>
          <w:tcPr>
            <w:tcW w:type="dxa" w:w="2200"/>
          </w:tcPr>
          <w:p>
            <w:pPr>
              <w:spacing w:before="0" w:after="0" w:line="240" w:lineRule="auto"/>
              <w:jc w:val="left"/>
            </w:pPr>
            <w:r>
              <w:rPr>
                <w:rFonts w:ascii="Times New Roman" w:hAnsi="Times New Roman" w:eastAsia="Times New Roman"/>
                <w:color w:val="000000"/>
                <w:sz w:val="17"/>
              </w:rPr>
              <w:t>English monolingual pool</w:t>
            </w:r>
          </w:p>
        </w:tc>
        <w:tc>
          <w:tcPr>
            <w:tcW w:type="dxa" w:w="1600"/>
          </w:tcPr>
          <w:p>
            <w:pPr>
              <w:spacing w:before="0" w:after="0" w:line="240" w:lineRule="auto"/>
              <w:jc w:val="center"/>
            </w:pPr>
            <w:r>
              <w:rPr>
                <w:rFonts w:ascii="Times New Roman" w:hAnsi="Times New Roman" w:eastAsia="Times New Roman"/>
                <w:color w:val="000000"/>
                <w:sz w:val="17"/>
              </w:rPr>
              <w:t>1,899,285</w:t>
            </w:r>
          </w:p>
        </w:tc>
        <w:tc>
          <w:tcPr>
            <w:tcW w:type="dxa" w:w="1500"/>
          </w:tcPr>
          <w:p>
            <w:pPr>
              <w:spacing w:before="0" w:after="0" w:line="240" w:lineRule="auto"/>
              <w:jc w:val="center"/>
            </w:pPr>
            <w:r>
              <w:rPr>
                <w:rFonts w:ascii="Times New Roman" w:hAnsi="Times New Roman" w:eastAsia="Times New Roman"/>
                <w:color w:val="000000"/>
                <w:sz w:val="17"/>
              </w:rPr>
              <w:t>1,899,285</w:t>
            </w:r>
          </w:p>
        </w:tc>
        <w:tc>
          <w:tcPr>
            <w:tcW w:type="dxa" w:w="2800"/>
          </w:tcPr>
          <w:p>
            <w:pPr>
              <w:spacing w:before="0" w:after="0" w:line="240" w:lineRule="auto"/>
              <w:jc w:val="left"/>
            </w:pPr>
            <w:r>
              <w:rPr>
                <w:rFonts w:ascii="Times New Roman" w:hAnsi="Times New Roman" w:eastAsia="Times New Roman"/>
                <w:color w:val="000000"/>
                <w:sz w:val="17"/>
              </w:rPr>
              <w:t>Synthetic candidate generation</w:t>
            </w:r>
          </w:p>
        </w:tc>
      </w:tr>
      <w:tr>
        <w:tc>
          <w:tcPr>
            <w:tcW w:type="dxa" w:w="2200"/>
          </w:tcPr>
          <w:p>
            <w:pPr>
              <w:spacing w:before="0" w:after="0" w:line="240" w:lineRule="auto"/>
              <w:jc w:val="left"/>
            </w:pPr>
            <w:r>
              <w:rPr>
                <w:rFonts w:ascii="Times New Roman" w:hAnsi="Times New Roman" w:eastAsia="Times New Roman"/>
                <w:color w:val="000000"/>
                <w:sz w:val="17"/>
              </w:rPr>
              <w:t>Prakrit-Sanskrit lexical</w:t>
            </w:r>
          </w:p>
        </w:tc>
        <w:tc>
          <w:tcPr>
            <w:tcW w:type="dxa" w:w="1600"/>
          </w:tcPr>
          <w:p>
            <w:pPr>
              <w:spacing w:before="0" w:after="0" w:line="240" w:lineRule="auto"/>
              <w:jc w:val="center"/>
            </w:pPr>
            <w:r>
              <w:rPr>
                <w:rFonts w:ascii="Times New Roman" w:hAnsi="Times New Roman" w:eastAsia="Times New Roman"/>
                <w:color w:val="000000"/>
                <w:sz w:val="17"/>
              </w:rPr>
              <w:t>1,433</w:t>
            </w:r>
          </w:p>
        </w:tc>
        <w:tc>
          <w:tcPr>
            <w:tcW w:type="dxa" w:w="1500"/>
          </w:tcPr>
          <w:p>
            <w:pPr>
              <w:spacing w:before="0" w:after="0" w:line="240" w:lineRule="auto"/>
              <w:jc w:val="center"/>
            </w:pPr>
            <w:r>
              <w:rPr>
                <w:rFonts w:ascii="Times New Roman" w:hAnsi="Times New Roman" w:eastAsia="Times New Roman"/>
                <w:color w:val="000000"/>
                <w:sz w:val="17"/>
              </w:rPr>
              <w:t>1,038</w:t>
            </w:r>
          </w:p>
        </w:tc>
        <w:tc>
          <w:tcPr>
            <w:tcW w:type="dxa" w:w="2800"/>
          </w:tcPr>
          <w:p>
            <w:pPr>
              <w:spacing w:before="0" w:after="0" w:line="240" w:lineRule="auto"/>
              <w:jc w:val="left"/>
            </w:pPr>
            <w:r>
              <w:rPr>
                <w:rFonts w:ascii="Times New Roman" w:hAnsi="Times New Roman" w:eastAsia="Times New Roman"/>
                <w:color w:val="000000"/>
                <w:sz w:val="17"/>
              </w:rPr>
              <w:t>934 train / 104 evaluation</w:t>
            </w:r>
          </w:p>
        </w:tc>
      </w:tr>
    </w:tbl>
    <w:p>
      <w:pPr>
        <w:spacing w:after="40"/>
      </w:pPr>
    </w:p>
    <w:p>
      <w:pPr>
        <w:keepNext w:val="0"/>
        <w:spacing w:line="360" w:lineRule="auto" w:before="0" w:after="120"/>
        <w:ind w:firstLine="432"/>
        <w:jc w:val="both"/>
      </w:pPr>
      <w:r>
        <w:rPr>
          <w:rFonts w:ascii="Times New Roman" w:hAnsi="Times New Roman" w:eastAsia="Times New Roman"/>
          <w:color w:val="000000"/>
          <w:sz w:val="24"/>
        </w:rPr>
        <w:t>The seed split did not use a dedicated independent test set. The same 200-pair evaluation set was used for checkpoint selection and final reporting, so results describe performance on the project split rather than definitive out-of-domain generalization.</w:t>
      </w: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4.8.3 Evaluation-Split Audit</w:t>
      </w:r>
    </w:p>
    <w:p>
      <w:pPr>
        <w:keepNext w:val="0"/>
        <w:spacing w:line="360" w:lineRule="auto" w:before="0" w:after="120"/>
        <w:ind w:firstLine="432"/>
        <w:jc w:val="both"/>
      </w:pPr>
      <w:r>
        <w:rPr>
          <w:rFonts w:ascii="Times New Roman" w:hAnsi="Times New Roman" w:eastAsia="Times New Roman"/>
          <w:color w:val="000000"/>
          <w:sz w:val="24"/>
        </w:rPr>
        <w:t>A character-trigram Jaccard audit measured similarity between each evaluation record and the training corpus. The audit revealed several highly similar pairs and therefore provides necessary context for the high Prakrit-to-English BLEU score.</w:t>
      </w:r>
    </w:p>
    <w:p>
      <w:pPr>
        <w:keepNext/>
        <w:spacing w:before="140" w:after="80"/>
        <w:jc w:val="left"/>
      </w:pPr>
      <w:r>
        <w:rPr>
          <w:rFonts w:ascii="Times New Roman" w:hAnsi="Times New Roman" w:eastAsia="Times New Roman"/>
          <w:b/>
          <w:color w:val="000000"/>
          <w:sz w:val="23"/>
        </w:rPr>
        <w:t>Table 4.4: Evaluation-split similarity audit</w:t>
      </w:r>
    </w:p>
    <w:tbl>
      <w:tblPr>
        <w:tblW w:type="dxa" w:w="8100"/>
        <w:jc w:val="left"/>
        <w:tblLayout w:type="fixed"/>
        <w:tblLook w:firstColumn="1" w:firstRow="1" w:lastColumn="0" w:lastRow="0" w:noHBand="0" w:noVBand="1" w:val="04A0"/>
        <w:tblInd w:w="120" w:type="dxa"/>
        <w:tblBorders>
          <w:top w:val="single" w:sz="6" w:space="0" w:color="7A7F87"/>
          <w:left w:val="single" w:sz="6" w:space="0" w:color="7A7F87"/>
          <w:bottom w:val="single" w:sz="6" w:space="0" w:color="7A7F87"/>
          <w:right w:val="single" w:sz="6" w:space="0" w:color="7A7F87"/>
          <w:insideH w:val="single" w:sz="6" w:space="0" w:color="7A7F87"/>
          <w:insideV w:val="single" w:sz="6" w:space="0" w:color="7A7F87"/>
        </w:tblBorders>
      </w:tblPr>
      <w:tblGrid>
        <w:gridCol w:w="2700"/>
        <w:gridCol w:w="1500"/>
        <w:gridCol w:w="3900"/>
      </w:tblGrid>
      <w:tr>
        <w:trPr>
          <w:cantSplit/>
          <w:tblHeader w:val="true"/>
        </w:trPr>
        <w:tc>
          <w:tcPr>
            <w:tcW w:type="dxa" w:w="27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8"/>
              </w:rPr>
              <w:t>Audit Measure</w:t>
            </w:r>
          </w:p>
        </w:tc>
        <w:tc>
          <w:tcPr>
            <w:tcW w:type="dxa" w:w="15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8"/>
              </w:rPr>
              <w:t>Result</w:t>
            </w:r>
          </w:p>
        </w:tc>
        <w:tc>
          <w:tcPr>
            <w:tcW w:type="dxa" w:w="39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8"/>
              </w:rPr>
              <w:t>Interpretation</w:t>
            </w:r>
          </w:p>
        </w:tc>
      </w:tr>
      <w:tr>
        <w:tc>
          <w:tcPr>
            <w:tcW w:type="dxa" w:w="2700"/>
          </w:tcPr>
          <w:p>
            <w:pPr>
              <w:spacing w:before="0" w:after="0" w:line="240" w:lineRule="auto"/>
              <w:jc w:val="left"/>
            </w:pPr>
            <w:r>
              <w:rPr>
                <w:rFonts w:ascii="Times New Roman" w:hAnsi="Times New Roman" w:eastAsia="Times New Roman"/>
                <w:color w:val="000000"/>
                <w:sz w:val="18"/>
              </w:rPr>
              <w:t>Evaluation records</w:t>
            </w:r>
          </w:p>
        </w:tc>
        <w:tc>
          <w:tcPr>
            <w:tcW w:type="dxa" w:w="1500"/>
          </w:tcPr>
          <w:p>
            <w:pPr>
              <w:spacing w:before="0" w:after="0" w:line="240" w:lineRule="auto"/>
              <w:jc w:val="center"/>
            </w:pPr>
            <w:r>
              <w:rPr>
                <w:rFonts w:ascii="Times New Roman" w:hAnsi="Times New Roman" w:eastAsia="Times New Roman"/>
                <w:color w:val="000000"/>
                <w:sz w:val="18"/>
              </w:rPr>
              <w:t>200</w:t>
            </w:r>
          </w:p>
        </w:tc>
        <w:tc>
          <w:tcPr>
            <w:tcW w:type="dxa" w:w="3900"/>
          </w:tcPr>
          <w:p>
            <w:pPr>
              <w:spacing w:before="0" w:after="0" w:line="240" w:lineRule="auto"/>
              <w:jc w:val="left"/>
            </w:pPr>
            <w:r>
              <w:rPr>
                <w:rFonts w:ascii="Times New Roman" w:hAnsi="Times New Roman" w:eastAsia="Times New Roman"/>
                <w:color w:val="000000"/>
                <w:sz w:val="18"/>
              </w:rPr>
              <w:t>Small held-out project split</w:t>
            </w:r>
          </w:p>
        </w:tc>
      </w:tr>
      <w:tr>
        <w:tc>
          <w:tcPr>
            <w:tcW w:type="dxa" w:w="2700"/>
          </w:tcPr>
          <w:p>
            <w:pPr>
              <w:spacing w:before="0" w:after="0" w:line="240" w:lineRule="auto"/>
              <w:jc w:val="left"/>
            </w:pPr>
            <w:r>
              <w:rPr>
                <w:rFonts w:ascii="Times New Roman" w:hAnsi="Times New Roman" w:eastAsia="Times New Roman"/>
                <w:color w:val="000000"/>
                <w:sz w:val="18"/>
              </w:rPr>
              <w:t>Maximum similarity &gt;= 0.90</w:t>
            </w:r>
          </w:p>
        </w:tc>
        <w:tc>
          <w:tcPr>
            <w:tcW w:type="dxa" w:w="1500"/>
          </w:tcPr>
          <w:p>
            <w:pPr>
              <w:spacing w:before="0" w:after="0" w:line="240" w:lineRule="auto"/>
              <w:jc w:val="center"/>
            </w:pPr>
            <w:r>
              <w:rPr>
                <w:rFonts w:ascii="Times New Roman" w:hAnsi="Times New Roman" w:eastAsia="Times New Roman"/>
                <w:color w:val="000000"/>
                <w:sz w:val="18"/>
              </w:rPr>
              <w:t>12 / 200</w:t>
            </w:r>
          </w:p>
        </w:tc>
        <w:tc>
          <w:tcPr>
            <w:tcW w:type="dxa" w:w="3900"/>
          </w:tcPr>
          <w:p>
            <w:pPr>
              <w:spacing w:before="0" w:after="0" w:line="240" w:lineRule="auto"/>
              <w:jc w:val="left"/>
            </w:pPr>
            <w:r>
              <w:rPr>
                <w:rFonts w:ascii="Times New Roman" w:hAnsi="Times New Roman" w:eastAsia="Times New Roman"/>
                <w:color w:val="000000"/>
                <w:sz w:val="18"/>
              </w:rPr>
              <w:t>Very close or near-duplicate relationship</w:t>
            </w:r>
          </w:p>
        </w:tc>
      </w:tr>
      <w:tr>
        <w:tc>
          <w:tcPr>
            <w:tcW w:type="dxa" w:w="2700"/>
          </w:tcPr>
          <w:p>
            <w:pPr>
              <w:spacing w:before="0" w:after="0" w:line="240" w:lineRule="auto"/>
              <w:jc w:val="left"/>
            </w:pPr>
            <w:r>
              <w:rPr>
                <w:rFonts w:ascii="Times New Roman" w:hAnsi="Times New Roman" w:eastAsia="Times New Roman"/>
                <w:color w:val="000000"/>
                <w:sz w:val="18"/>
              </w:rPr>
              <w:t>Maximum similarity &gt;= 0.70</w:t>
            </w:r>
          </w:p>
        </w:tc>
        <w:tc>
          <w:tcPr>
            <w:tcW w:type="dxa" w:w="1500"/>
          </w:tcPr>
          <w:p>
            <w:pPr>
              <w:spacing w:before="0" w:after="0" w:line="240" w:lineRule="auto"/>
              <w:jc w:val="center"/>
            </w:pPr>
            <w:r>
              <w:rPr>
                <w:rFonts w:ascii="Times New Roman" w:hAnsi="Times New Roman" w:eastAsia="Times New Roman"/>
                <w:color w:val="000000"/>
                <w:sz w:val="18"/>
              </w:rPr>
              <w:t>33 / 200</w:t>
            </w:r>
          </w:p>
        </w:tc>
        <w:tc>
          <w:tcPr>
            <w:tcW w:type="dxa" w:w="3900"/>
          </w:tcPr>
          <w:p>
            <w:pPr>
              <w:spacing w:before="0" w:after="0" w:line="240" w:lineRule="auto"/>
              <w:jc w:val="left"/>
            </w:pPr>
            <w:r>
              <w:rPr>
                <w:rFonts w:ascii="Times New Roman" w:hAnsi="Times New Roman" w:eastAsia="Times New Roman"/>
                <w:color w:val="000000"/>
                <w:sz w:val="18"/>
              </w:rPr>
              <w:t>Substantial lexical overlap</w:t>
            </w:r>
          </w:p>
        </w:tc>
      </w:tr>
      <w:tr>
        <w:tc>
          <w:tcPr>
            <w:tcW w:type="dxa" w:w="2700"/>
          </w:tcPr>
          <w:p>
            <w:pPr>
              <w:spacing w:before="0" w:after="0" w:line="240" w:lineRule="auto"/>
              <w:jc w:val="left"/>
            </w:pPr>
            <w:r>
              <w:rPr>
                <w:rFonts w:ascii="Times New Roman" w:hAnsi="Times New Roman" w:eastAsia="Times New Roman"/>
                <w:color w:val="000000"/>
                <w:sz w:val="18"/>
              </w:rPr>
              <w:t>Mean maximum similarity</w:t>
            </w:r>
          </w:p>
        </w:tc>
        <w:tc>
          <w:tcPr>
            <w:tcW w:type="dxa" w:w="1500"/>
          </w:tcPr>
          <w:p>
            <w:pPr>
              <w:spacing w:before="0" w:after="0" w:line="240" w:lineRule="auto"/>
              <w:jc w:val="center"/>
            </w:pPr>
            <w:r>
              <w:rPr>
                <w:rFonts w:ascii="Times New Roman" w:hAnsi="Times New Roman" w:eastAsia="Times New Roman"/>
                <w:color w:val="000000"/>
                <w:sz w:val="18"/>
              </w:rPr>
              <w:t>0.39</w:t>
            </w:r>
          </w:p>
        </w:tc>
        <w:tc>
          <w:tcPr>
            <w:tcW w:type="dxa" w:w="3900"/>
          </w:tcPr>
          <w:p>
            <w:pPr>
              <w:spacing w:before="0" w:after="0" w:line="240" w:lineRule="auto"/>
              <w:jc w:val="left"/>
            </w:pPr>
            <w:r>
              <w:rPr>
                <w:rFonts w:ascii="Times New Roman" w:hAnsi="Times New Roman" w:eastAsia="Times New Roman"/>
                <w:color w:val="000000"/>
                <w:sz w:val="18"/>
              </w:rPr>
              <w:t>Moderate average proximity to training data</w:t>
            </w:r>
          </w:p>
        </w:tc>
      </w:tr>
    </w:tbl>
    <w:p>
      <w:pPr>
        <w:spacing w:after="40"/>
      </w:pP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4.8.4 Exploratory Model Experiments</w:t>
      </w:r>
    </w:p>
    <w:p>
      <w:pPr>
        <w:keepNext w:val="0"/>
        <w:spacing w:line="360" w:lineRule="auto" w:before="0" w:after="120"/>
        <w:ind w:firstLine="432"/>
        <w:jc w:val="both"/>
      </w:pPr>
      <w:r>
        <w:rPr>
          <w:rFonts w:ascii="Times New Roman" w:hAnsi="Times New Roman" w:eastAsia="Times New Roman"/>
          <w:color w:val="000000"/>
          <w:sz w:val="24"/>
        </w:rPr>
        <w:t>NLLB-200, IndicTrans2, LoRA-based adaptation, full fine-tuning, and reinforcement-learning paths were explored. The following results used different training budgets and are not a controlled leaderboard. They are preserved as evidence of the development path rather than used to claim strict model superiority.</w:t>
      </w:r>
    </w:p>
    <w:p>
      <w:pPr>
        <w:keepNext/>
        <w:spacing w:before="140" w:after="80"/>
        <w:jc w:val="left"/>
      </w:pPr>
      <w:r>
        <w:rPr>
          <w:rFonts w:ascii="Times New Roman" w:hAnsi="Times New Roman" w:eastAsia="Times New Roman"/>
          <w:b/>
          <w:color w:val="000000"/>
          <w:sz w:val="23"/>
        </w:rPr>
        <w:t>Table 4.5: Exploratory model experiments</w:t>
      </w:r>
    </w:p>
    <w:tbl>
      <w:tblPr>
        <w:tblW w:type="dxa" w:w="8100"/>
        <w:jc w:val="left"/>
        <w:tblLayout w:type="fixed"/>
        <w:tblLook w:firstColumn="1" w:firstRow="1" w:lastColumn="0" w:lastRow="0" w:noHBand="0" w:noVBand="1" w:val="04A0"/>
        <w:tblInd w:w="120" w:type="dxa"/>
        <w:tblBorders>
          <w:top w:val="single" w:sz="6" w:space="0" w:color="7A7F87"/>
          <w:left w:val="single" w:sz="6" w:space="0" w:color="7A7F87"/>
          <w:bottom w:val="single" w:sz="6" w:space="0" w:color="7A7F87"/>
          <w:right w:val="single" w:sz="6" w:space="0" w:color="7A7F87"/>
          <w:insideH w:val="single" w:sz="6" w:space="0" w:color="7A7F87"/>
          <w:insideV w:val="single" w:sz="6" w:space="0" w:color="7A7F87"/>
        </w:tblBorders>
      </w:tblPr>
      <w:tblGrid>
        <w:gridCol w:w="2800"/>
        <w:gridCol w:w="1500"/>
        <w:gridCol w:w="1100"/>
        <w:gridCol w:w="2700"/>
      </w:tblGrid>
      <w:tr>
        <w:trPr>
          <w:cantSplit/>
          <w:tblHeader w:val="true"/>
        </w:trPr>
        <w:tc>
          <w:tcPr>
            <w:tcW w:type="dxa" w:w="28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7"/>
              </w:rPr>
              <w:t>Model / Approach</w:t>
            </w:r>
          </w:p>
        </w:tc>
        <w:tc>
          <w:tcPr>
            <w:tcW w:type="dxa" w:w="15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7"/>
              </w:rPr>
              <w:t>Training Point</w:t>
            </w:r>
          </w:p>
        </w:tc>
        <w:tc>
          <w:tcPr>
            <w:tcW w:type="dxa" w:w="11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7"/>
              </w:rPr>
              <w:t>BLEU</w:t>
            </w:r>
          </w:p>
        </w:tc>
        <w:tc>
          <w:tcPr>
            <w:tcW w:type="dxa" w:w="27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7"/>
              </w:rPr>
              <w:t>Status</w:t>
            </w:r>
          </w:p>
        </w:tc>
      </w:tr>
      <w:tr>
        <w:tc>
          <w:tcPr>
            <w:tcW w:type="dxa" w:w="2800"/>
          </w:tcPr>
          <w:p>
            <w:pPr>
              <w:spacing w:before="0" w:after="0" w:line="240" w:lineRule="auto"/>
              <w:jc w:val="left"/>
            </w:pPr>
            <w:r>
              <w:rPr>
                <w:rFonts w:ascii="Times New Roman" w:hAnsi="Times New Roman" w:eastAsia="Times New Roman"/>
                <w:color w:val="000000"/>
                <w:sz w:val="17"/>
              </w:rPr>
              <w:t>NLLB-200 with LoRA</w:t>
            </w:r>
          </w:p>
        </w:tc>
        <w:tc>
          <w:tcPr>
            <w:tcW w:type="dxa" w:w="1500"/>
          </w:tcPr>
          <w:p>
            <w:pPr>
              <w:spacing w:before="0" w:after="0" w:line="240" w:lineRule="auto"/>
              <w:jc w:val="center"/>
            </w:pPr>
            <w:r>
              <w:rPr>
                <w:rFonts w:ascii="Times New Roman" w:hAnsi="Times New Roman" w:eastAsia="Times New Roman"/>
                <w:color w:val="000000"/>
                <w:sz w:val="17"/>
              </w:rPr>
              <w:t>150 steps</w:t>
            </w:r>
          </w:p>
        </w:tc>
        <w:tc>
          <w:tcPr>
            <w:tcW w:type="dxa" w:w="1100"/>
          </w:tcPr>
          <w:p>
            <w:pPr>
              <w:spacing w:before="0" w:after="0" w:line="240" w:lineRule="auto"/>
              <w:jc w:val="center"/>
            </w:pPr>
            <w:r>
              <w:rPr>
                <w:rFonts w:ascii="Times New Roman" w:hAnsi="Times New Roman" w:eastAsia="Times New Roman"/>
                <w:color w:val="000000"/>
                <w:sz w:val="17"/>
              </w:rPr>
              <w:t>2.67</w:t>
            </w:r>
          </w:p>
        </w:tc>
        <w:tc>
          <w:tcPr>
            <w:tcW w:type="dxa" w:w="2700"/>
          </w:tcPr>
          <w:p>
            <w:pPr>
              <w:spacing w:before="0" w:after="0" w:line="240" w:lineRule="auto"/>
              <w:jc w:val="left"/>
            </w:pPr>
            <w:r>
              <w:rPr>
                <w:rFonts w:ascii="Times New Roman" w:hAnsi="Times New Roman" w:eastAsia="Times New Roman"/>
                <w:color w:val="000000"/>
                <w:sz w:val="17"/>
              </w:rPr>
              <w:t>Exploratory</w:t>
            </w:r>
          </w:p>
        </w:tc>
      </w:tr>
      <w:tr>
        <w:tc>
          <w:tcPr>
            <w:tcW w:type="dxa" w:w="2800"/>
          </w:tcPr>
          <w:p>
            <w:pPr>
              <w:spacing w:before="0" w:after="0" w:line="240" w:lineRule="auto"/>
              <w:jc w:val="left"/>
            </w:pPr>
            <w:r>
              <w:rPr>
                <w:rFonts w:ascii="Times New Roman" w:hAnsi="Times New Roman" w:eastAsia="Times New Roman"/>
                <w:color w:val="000000"/>
                <w:sz w:val="17"/>
              </w:rPr>
              <w:t>NLLB-200 with LoRA</w:t>
            </w:r>
          </w:p>
        </w:tc>
        <w:tc>
          <w:tcPr>
            <w:tcW w:type="dxa" w:w="1500"/>
          </w:tcPr>
          <w:p>
            <w:pPr>
              <w:spacing w:before="0" w:after="0" w:line="240" w:lineRule="auto"/>
              <w:jc w:val="center"/>
            </w:pPr>
            <w:r>
              <w:rPr>
                <w:rFonts w:ascii="Times New Roman" w:hAnsi="Times New Roman" w:eastAsia="Times New Roman"/>
                <w:color w:val="000000"/>
                <w:sz w:val="17"/>
              </w:rPr>
              <w:t>600 steps</w:t>
            </w:r>
          </w:p>
        </w:tc>
        <w:tc>
          <w:tcPr>
            <w:tcW w:type="dxa" w:w="1100"/>
          </w:tcPr>
          <w:p>
            <w:pPr>
              <w:spacing w:before="0" w:after="0" w:line="240" w:lineRule="auto"/>
              <w:jc w:val="center"/>
            </w:pPr>
            <w:r>
              <w:rPr>
                <w:rFonts w:ascii="Times New Roman" w:hAnsi="Times New Roman" w:eastAsia="Times New Roman"/>
                <w:color w:val="000000"/>
                <w:sz w:val="17"/>
              </w:rPr>
              <w:t>7.38</w:t>
            </w:r>
          </w:p>
        </w:tc>
        <w:tc>
          <w:tcPr>
            <w:tcW w:type="dxa" w:w="2700"/>
          </w:tcPr>
          <w:p>
            <w:pPr>
              <w:spacing w:before="0" w:after="0" w:line="240" w:lineRule="auto"/>
              <w:jc w:val="left"/>
            </w:pPr>
            <w:r>
              <w:rPr>
                <w:rFonts w:ascii="Times New Roman" w:hAnsi="Times New Roman" w:eastAsia="Times New Roman"/>
                <w:color w:val="000000"/>
                <w:sz w:val="17"/>
              </w:rPr>
              <w:t>Exploratory</w:t>
            </w:r>
          </w:p>
        </w:tc>
      </w:tr>
      <w:tr>
        <w:tc>
          <w:tcPr>
            <w:tcW w:type="dxa" w:w="2800"/>
          </w:tcPr>
          <w:p>
            <w:pPr>
              <w:spacing w:before="0" w:after="0" w:line="240" w:lineRule="auto"/>
              <w:jc w:val="left"/>
            </w:pPr>
            <w:r>
              <w:rPr>
                <w:rFonts w:ascii="Times New Roman" w:hAnsi="Times New Roman" w:eastAsia="Times New Roman"/>
                <w:color w:val="000000"/>
                <w:sz w:val="17"/>
              </w:rPr>
              <w:t>NLLB-200 with LoRA</w:t>
            </w:r>
          </w:p>
        </w:tc>
        <w:tc>
          <w:tcPr>
            <w:tcW w:type="dxa" w:w="1500"/>
          </w:tcPr>
          <w:p>
            <w:pPr>
              <w:spacing w:before="0" w:after="0" w:line="240" w:lineRule="auto"/>
              <w:jc w:val="center"/>
            </w:pPr>
            <w:r>
              <w:rPr>
                <w:rFonts w:ascii="Times New Roman" w:hAnsi="Times New Roman" w:eastAsia="Times New Roman"/>
                <w:color w:val="000000"/>
                <w:sz w:val="17"/>
              </w:rPr>
              <w:t>9,000 steps</w:t>
            </w:r>
          </w:p>
        </w:tc>
        <w:tc>
          <w:tcPr>
            <w:tcW w:type="dxa" w:w="1100"/>
          </w:tcPr>
          <w:p>
            <w:pPr>
              <w:spacing w:before="0" w:after="0" w:line="240" w:lineRule="auto"/>
              <w:jc w:val="center"/>
            </w:pPr>
            <w:r>
              <w:rPr>
                <w:rFonts w:ascii="Times New Roman" w:hAnsi="Times New Roman" w:eastAsia="Times New Roman"/>
                <w:color w:val="000000"/>
                <w:sz w:val="17"/>
              </w:rPr>
              <w:t>7.69</w:t>
            </w:r>
          </w:p>
        </w:tc>
        <w:tc>
          <w:tcPr>
            <w:tcW w:type="dxa" w:w="2700"/>
          </w:tcPr>
          <w:p>
            <w:pPr>
              <w:spacing w:before="0" w:after="0" w:line="240" w:lineRule="auto"/>
              <w:jc w:val="left"/>
            </w:pPr>
            <w:r>
              <w:rPr>
                <w:rFonts w:ascii="Times New Roman" w:hAnsi="Times New Roman" w:eastAsia="Times New Roman"/>
                <w:color w:val="000000"/>
                <w:sz w:val="17"/>
              </w:rPr>
              <w:t>Exploratory</w:t>
            </w:r>
          </w:p>
        </w:tc>
      </w:tr>
      <w:tr>
        <w:tc>
          <w:tcPr>
            <w:tcW w:type="dxa" w:w="2800"/>
          </w:tcPr>
          <w:p>
            <w:pPr>
              <w:spacing w:before="0" w:after="0" w:line="240" w:lineRule="auto"/>
              <w:jc w:val="left"/>
            </w:pPr>
            <w:r>
              <w:rPr>
                <w:rFonts w:ascii="Times New Roman" w:hAnsi="Times New Roman" w:eastAsia="Times New Roman"/>
                <w:color w:val="000000"/>
                <w:sz w:val="17"/>
              </w:rPr>
              <w:t>IndicTrans2 direct adaptation</w:t>
            </w:r>
          </w:p>
        </w:tc>
        <w:tc>
          <w:tcPr>
            <w:tcW w:type="dxa" w:w="1500"/>
          </w:tcPr>
          <w:p>
            <w:pPr>
              <w:spacing w:before="0" w:after="0" w:line="240" w:lineRule="auto"/>
              <w:jc w:val="center"/>
            </w:pPr>
            <w:r>
              <w:rPr>
                <w:rFonts w:ascii="Times New Roman" w:hAnsi="Times New Roman" w:eastAsia="Times New Roman"/>
                <w:color w:val="000000"/>
                <w:sz w:val="17"/>
              </w:rPr>
              <w:t>300 steps</w:t>
            </w:r>
          </w:p>
        </w:tc>
        <w:tc>
          <w:tcPr>
            <w:tcW w:type="dxa" w:w="1100"/>
          </w:tcPr>
          <w:p>
            <w:pPr>
              <w:spacing w:before="0" w:after="0" w:line="240" w:lineRule="auto"/>
              <w:jc w:val="center"/>
            </w:pPr>
            <w:r>
              <w:rPr>
                <w:rFonts w:ascii="Times New Roman" w:hAnsi="Times New Roman" w:eastAsia="Times New Roman"/>
                <w:color w:val="000000"/>
                <w:sz w:val="17"/>
              </w:rPr>
              <w:t>5.35</w:t>
            </w:r>
          </w:p>
        </w:tc>
        <w:tc>
          <w:tcPr>
            <w:tcW w:type="dxa" w:w="2700"/>
          </w:tcPr>
          <w:p>
            <w:pPr>
              <w:spacing w:before="0" w:after="0" w:line="240" w:lineRule="auto"/>
              <w:jc w:val="left"/>
            </w:pPr>
            <w:r>
              <w:rPr>
                <w:rFonts w:ascii="Times New Roman" w:hAnsi="Times New Roman" w:eastAsia="Times New Roman"/>
                <w:color w:val="000000"/>
                <w:sz w:val="17"/>
              </w:rPr>
              <w:t>Exploratory</w:t>
            </w:r>
          </w:p>
        </w:tc>
      </w:tr>
      <w:tr>
        <w:tc>
          <w:tcPr>
            <w:tcW w:type="dxa" w:w="2800"/>
          </w:tcPr>
          <w:p>
            <w:pPr>
              <w:spacing w:before="0" w:after="0" w:line="240" w:lineRule="auto"/>
              <w:jc w:val="left"/>
            </w:pPr>
            <w:r>
              <w:rPr>
                <w:rFonts w:ascii="Times New Roman" w:hAnsi="Times New Roman" w:eastAsia="Times New Roman"/>
                <w:color w:val="000000"/>
                <w:sz w:val="17"/>
              </w:rPr>
              <w:t>IndicTrans2 two-stage adaptation</w:t>
            </w:r>
          </w:p>
        </w:tc>
        <w:tc>
          <w:tcPr>
            <w:tcW w:type="dxa" w:w="1500"/>
          </w:tcPr>
          <w:p>
            <w:pPr>
              <w:spacing w:before="0" w:after="0" w:line="240" w:lineRule="auto"/>
              <w:jc w:val="center"/>
            </w:pPr>
            <w:r>
              <w:rPr>
                <w:rFonts w:ascii="Times New Roman" w:hAnsi="Times New Roman" w:eastAsia="Times New Roman"/>
                <w:color w:val="000000"/>
                <w:sz w:val="17"/>
              </w:rPr>
              <w:t>330 steps</w:t>
            </w:r>
          </w:p>
        </w:tc>
        <w:tc>
          <w:tcPr>
            <w:tcW w:type="dxa" w:w="1100"/>
          </w:tcPr>
          <w:p>
            <w:pPr>
              <w:spacing w:before="0" w:after="0" w:line="240" w:lineRule="auto"/>
              <w:jc w:val="center"/>
            </w:pPr>
            <w:r>
              <w:rPr>
                <w:rFonts w:ascii="Times New Roman" w:hAnsi="Times New Roman" w:eastAsia="Times New Roman"/>
                <w:color w:val="000000"/>
                <w:sz w:val="17"/>
              </w:rPr>
              <w:t>3.52</w:t>
            </w:r>
          </w:p>
        </w:tc>
        <w:tc>
          <w:tcPr>
            <w:tcW w:type="dxa" w:w="2700"/>
          </w:tcPr>
          <w:p>
            <w:pPr>
              <w:spacing w:before="0" w:after="0" w:line="240" w:lineRule="auto"/>
              <w:jc w:val="left"/>
            </w:pPr>
            <w:r>
              <w:rPr>
                <w:rFonts w:ascii="Times New Roman" w:hAnsi="Times New Roman" w:eastAsia="Times New Roman"/>
                <w:color w:val="000000"/>
                <w:sz w:val="17"/>
              </w:rPr>
              <w:t>Exploratory</w:t>
            </w:r>
          </w:p>
        </w:tc>
      </w:tr>
      <w:tr>
        <w:tc>
          <w:tcPr>
            <w:tcW w:type="dxa" w:w="2800"/>
          </w:tcPr>
          <w:p>
            <w:pPr>
              <w:spacing w:before="0" w:after="0" w:line="240" w:lineRule="auto"/>
              <w:jc w:val="left"/>
            </w:pPr>
            <w:r>
              <w:rPr>
                <w:rFonts w:ascii="Times New Roman" w:hAnsi="Times New Roman" w:eastAsia="Times New Roman"/>
                <w:color w:val="000000"/>
                <w:sz w:val="17"/>
              </w:rPr>
              <w:t>GRPO / early M2M paths</w:t>
            </w:r>
          </w:p>
        </w:tc>
        <w:tc>
          <w:tcPr>
            <w:tcW w:type="dxa" w:w="1500"/>
          </w:tcPr>
          <w:p>
            <w:pPr>
              <w:spacing w:before="0" w:after="0" w:line="240" w:lineRule="auto"/>
              <w:jc w:val="center"/>
            </w:pPr>
            <w:r>
              <w:rPr>
                <w:rFonts w:ascii="Times New Roman" w:hAnsi="Times New Roman" w:eastAsia="Times New Roman"/>
                <w:color w:val="000000"/>
                <w:sz w:val="17"/>
              </w:rPr>
              <w:t>Various</w:t>
            </w:r>
          </w:p>
        </w:tc>
        <w:tc>
          <w:tcPr>
            <w:tcW w:type="dxa" w:w="1100"/>
          </w:tcPr>
          <w:p>
            <w:pPr>
              <w:spacing w:before="0" w:after="0" w:line="240" w:lineRule="auto"/>
              <w:jc w:val="center"/>
            </w:pPr>
            <w:r>
              <w:rPr>
                <w:rFonts w:ascii="Times New Roman" w:hAnsi="Times New Roman" w:eastAsia="Times New Roman"/>
                <w:color w:val="000000"/>
                <w:sz w:val="17"/>
              </w:rPr>
              <w:t>Not reported</w:t>
            </w:r>
          </w:p>
        </w:tc>
        <w:tc>
          <w:tcPr>
            <w:tcW w:type="dxa" w:w="2700"/>
          </w:tcPr>
          <w:p>
            <w:pPr>
              <w:spacing w:before="0" w:after="0" w:line="240" w:lineRule="auto"/>
              <w:jc w:val="left"/>
            </w:pPr>
            <w:r>
              <w:rPr>
                <w:rFonts w:ascii="Times New Roman" w:hAnsi="Times New Roman" w:eastAsia="Times New Roman"/>
                <w:color w:val="000000"/>
                <w:sz w:val="17"/>
              </w:rPr>
              <w:t>No validated final metric</w:t>
            </w:r>
          </w:p>
        </w:tc>
      </w:tr>
    </w:tbl>
    <w:p>
      <w:pPr>
        <w:spacing w:after="40"/>
      </w:pP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4.8.5 Final PrakritM2M Training and PraDCT</w:t>
      </w:r>
    </w:p>
    <w:p>
      <w:pPr>
        <w:keepNext w:val="0"/>
        <w:spacing w:line="360" w:lineRule="auto" w:before="0" w:after="120"/>
        <w:ind w:firstLine="432"/>
        <w:jc w:val="both"/>
      </w:pPr>
      <w:r>
        <w:rPr>
          <w:rFonts w:ascii="Times New Roman" w:hAnsi="Times New Roman" w:eastAsia="Times New Roman"/>
          <w:color w:val="000000"/>
          <w:sz w:val="24"/>
        </w:rPr>
        <w:t>The final system used M2M-100-418M with full fine-tuning. PrakritM2M-P2E was trained first. Its selected checkpoint then initialized PrakritM2M-E2P after reversing the parallel pairs. This directional transfer reduced the E2P starting loss from approximately 16.18 to 3.44 and made the reverse-direction optimization substantially more stable.</w:t>
      </w:r>
    </w:p>
    <w:p>
      <w:pPr>
        <w:keepNext/>
        <w:spacing w:before="120" w:after="60"/>
        <w:jc w:val="center"/>
      </w:pPr>
      <w:r>
        <w:rPr>
          <w:rFonts w:ascii="Times New Roman" w:hAnsi="Times New Roman" w:eastAsia="Times New Roman"/>
          <w:color w:val="000000"/>
          <w:sz w:val="24"/>
        </w:rPr>
        <w:drawing>
          <wp:inline xmlns:a="http://schemas.openxmlformats.org/drawingml/2006/main" xmlns:pic="http://schemas.openxmlformats.org/drawingml/2006/picture">
            <wp:extent cx="5074920" cy="1420978"/>
            <wp:docPr id="7" name="Picture 7" descr="PraDCT sequence from M2M-100 through P2E checkpoint selection to E2P initialization" title="PraDCT sequence from M2M-100 through P2E checkpoint selection to E2P initialization"/>
            <wp:cNvGraphicFramePr>
              <a:graphicFrameLocks noChangeAspect="1"/>
            </wp:cNvGraphicFramePr>
            <a:graphic>
              <a:graphicData uri="http://schemas.openxmlformats.org/drawingml/2006/picture">
                <pic:pic>
                  <pic:nvPicPr>
                    <pic:cNvPr id="0" name="pradct.png"/>
                    <pic:cNvPicPr/>
                  </pic:nvPicPr>
                  <pic:blipFill>
                    <a:blip r:embed="rId21"/>
                    <a:stretch>
                      <a:fillRect/>
                    </a:stretch>
                  </pic:blipFill>
                  <pic:spPr>
                    <a:xfrm>
                      <a:off x="0" y="0"/>
                      <a:ext cx="5074920" cy="1420978"/>
                    </a:xfrm>
                    <a:prstGeom prst="rect"/>
                  </pic:spPr>
                </pic:pic>
              </a:graphicData>
            </a:graphic>
          </wp:inline>
        </w:drawing>
      </w:r>
    </w:p>
    <w:p>
      <w:pPr>
        <w:keepLines/>
        <w:spacing w:before="0" w:after="160"/>
        <w:jc w:val="center"/>
      </w:pPr>
      <w:r>
        <w:rPr>
          <w:rFonts w:ascii="Times New Roman" w:hAnsi="Times New Roman" w:eastAsia="Times New Roman"/>
          <w:i/>
          <w:color w:val="000000"/>
          <w:sz w:val="22"/>
        </w:rPr>
        <w:t>Figure 4.2: Directional checkpoint transfer sequence</w:t>
      </w:r>
    </w:p>
    <w:p>
      <w:pPr>
        <w:keepNext/>
        <w:spacing w:before="140" w:after="80"/>
        <w:jc w:val="left"/>
      </w:pPr>
      <w:r>
        <w:rPr>
          <w:rFonts w:ascii="Times New Roman" w:hAnsi="Times New Roman" w:eastAsia="Times New Roman"/>
          <w:b/>
          <w:color w:val="000000"/>
          <w:sz w:val="23"/>
        </w:rPr>
        <w:t>Table 4.6: Final translation training configuration</w:t>
      </w:r>
    </w:p>
    <w:tbl>
      <w:tblPr>
        <w:tblW w:type="dxa" w:w="8100"/>
        <w:jc w:val="left"/>
        <w:tblLayout w:type="fixed"/>
        <w:tblLook w:firstColumn="1" w:firstRow="1" w:lastColumn="0" w:lastRow="0" w:noHBand="0" w:noVBand="1" w:val="04A0"/>
        <w:tblInd w:w="120" w:type="dxa"/>
        <w:tblBorders>
          <w:top w:val="single" w:sz="6" w:space="0" w:color="7A7F87"/>
          <w:left w:val="single" w:sz="6" w:space="0" w:color="7A7F87"/>
          <w:bottom w:val="single" w:sz="6" w:space="0" w:color="7A7F87"/>
          <w:right w:val="single" w:sz="6" w:space="0" w:color="7A7F87"/>
          <w:insideH w:val="single" w:sz="6" w:space="0" w:color="7A7F87"/>
          <w:insideV w:val="single" w:sz="6" w:space="0" w:color="7A7F87"/>
        </w:tblBorders>
      </w:tblPr>
      <w:tblGrid>
        <w:gridCol w:w="3000"/>
        <w:gridCol w:w="5100"/>
      </w:tblGrid>
      <w:tr>
        <w:trPr>
          <w:cantSplit/>
          <w:tblHeader w:val="true"/>
        </w:trPr>
        <w:tc>
          <w:tcPr>
            <w:tcW w:type="dxa" w:w="30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8"/>
              </w:rPr>
              <w:t>Parameter</w:t>
            </w:r>
          </w:p>
        </w:tc>
        <w:tc>
          <w:tcPr>
            <w:tcW w:type="dxa" w:w="51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8"/>
              </w:rPr>
              <w:t>Configuration</w:t>
            </w:r>
          </w:p>
        </w:tc>
      </w:tr>
      <w:tr>
        <w:tc>
          <w:tcPr>
            <w:tcW w:type="dxa" w:w="3000"/>
          </w:tcPr>
          <w:p>
            <w:pPr>
              <w:spacing w:before="0" w:after="0" w:line="240" w:lineRule="auto"/>
              <w:jc w:val="left"/>
            </w:pPr>
            <w:r>
              <w:rPr>
                <w:rFonts w:ascii="Times New Roman" w:hAnsi="Times New Roman" w:eastAsia="Times New Roman"/>
                <w:color w:val="000000"/>
                <w:sz w:val="18"/>
              </w:rPr>
              <w:t>Backbone</w:t>
            </w:r>
          </w:p>
        </w:tc>
        <w:tc>
          <w:tcPr>
            <w:tcW w:type="dxa" w:w="5100"/>
          </w:tcPr>
          <w:p>
            <w:pPr>
              <w:spacing w:before="0" w:after="0" w:line="240" w:lineRule="auto"/>
              <w:jc w:val="left"/>
            </w:pPr>
            <w:r>
              <w:rPr>
                <w:rFonts w:ascii="Times New Roman" w:hAnsi="Times New Roman" w:eastAsia="Times New Roman"/>
                <w:color w:val="000000"/>
                <w:sz w:val="18"/>
              </w:rPr>
              <w:t>M2M-100-418M, full fine-tuning</w:t>
            </w:r>
          </w:p>
        </w:tc>
      </w:tr>
      <w:tr>
        <w:tc>
          <w:tcPr>
            <w:tcW w:type="dxa" w:w="3000"/>
          </w:tcPr>
          <w:p>
            <w:pPr>
              <w:spacing w:before="0" w:after="0" w:line="240" w:lineRule="auto"/>
              <w:jc w:val="left"/>
            </w:pPr>
            <w:r>
              <w:rPr>
                <w:rFonts w:ascii="Times New Roman" w:hAnsi="Times New Roman" w:eastAsia="Times New Roman"/>
                <w:color w:val="000000"/>
                <w:sz w:val="18"/>
              </w:rPr>
              <w:t>Epochs / total steps</w:t>
            </w:r>
          </w:p>
        </w:tc>
        <w:tc>
          <w:tcPr>
            <w:tcW w:type="dxa" w:w="5100"/>
          </w:tcPr>
          <w:p>
            <w:pPr>
              <w:spacing w:before="0" w:after="0" w:line="240" w:lineRule="auto"/>
              <w:jc w:val="left"/>
            </w:pPr>
            <w:r>
              <w:rPr>
                <w:rFonts w:ascii="Times New Roman" w:hAnsi="Times New Roman" w:eastAsia="Times New Roman"/>
                <w:color w:val="000000"/>
                <w:sz w:val="18"/>
              </w:rPr>
              <w:t>20 epochs / 1,880 steps</w:t>
            </w:r>
          </w:p>
        </w:tc>
      </w:tr>
      <w:tr>
        <w:tc>
          <w:tcPr>
            <w:tcW w:type="dxa" w:w="3000"/>
          </w:tcPr>
          <w:p>
            <w:pPr>
              <w:spacing w:before="0" w:after="0" w:line="240" w:lineRule="auto"/>
              <w:jc w:val="left"/>
            </w:pPr>
            <w:r>
              <w:rPr>
                <w:rFonts w:ascii="Times New Roman" w:hAnsi="Times New Roman" w:eastAsia="Times New Roman"/>
                <w:color w:val="000000"/>
                <w:sz w:val="18"/>
              </w:rPr>
              <w:t>Learning rate</w:t>
            </w:r>
          </w:p>
        </w:tc>
        <w:tc>
          <w:tcPr>
            <w:tcW w:type="dxa" w:w="5100"/>
          </w:tcPr>
          <w:p>
            <w:pPr>
              <w:spacing w:before="0" w:after="0" w:line="240" w:lineRule="auto"/>
              <w:jc w:val="left"/>
            </w:pPr>
            <w:r>
              <w:rPr>
                <w:rFonts w:ascii="Times New Roman" w:hAnsi="Times New Roman" w:eastAsia="Times New Roman"/>
                <w:color w:val="000000"/>
                <w:sz w:val="18"/>
              </w:rPr>
              <w:t>5e-5</w:t>
            </w:r>
          </w:p>
        </w:tc>
      </w:tr>
      <w:tr>
        <w:tc>
          <w:tcPr>
            <w:tcW w:type="dxa" w:w="3000"/>
          </w:tcPr>
          <w:p>
            <w:pPr>
              <w:spacing w:before="0" w:after="0" w:line="240" w:lineRule="auto"/>
              <w:jc w:val="left"/>
            </w:pPr>
            <w:r>
              <w:rPr>
                <w:rFonts w:ascii="Times New Roman" w:hAnsi="Times New Roman" w:eastAsia="Times New Roman"/>
                <w:color w:val="000000"/>
                <w:sz w:val="18"/>
              </w:rPr>
              <w:t>Per-device batch size</w:t>
            </w:r>
          </w:p>
        </w:tc>
        <w:tc>
          <w:tcPr>
            <w:tcW w:type="dxa" w:w="5100"/>
          </w:tcPr>
          <w:p>
            <w:pPr>
              <w:spacing w:before="0" w:after="0" w:line="240" w:lineRule="auto"/>
              <w:jc w:val="left"/>
            </w:pPr>
            <w:r>
              <w:rPr>
                <w:rFonts w:ascii="Times New Roman" w:hAnsi="Times New Roman" w:eastAsia="Times New Roman"/>
                <w:color w:val="000000"/>
                <w:sz w:val="18"/>
              </w:rPr>
              <w:t>8</w:t>
            </w:r>
          </w:p>
        </w:tc>
      </w:tr>
      <w:tr>
        <w:tc>
          <w:tcPr>
            <w:tcW w:type="dxa" w:w="3000"/>
          </w:tcPr>
          <w:p>
            <w:pPr>
              <w:spacing w:before="0" w:after="0" w:line="240" w:lineRule="auto"/>
              <w:jc w:val="left"/>
            </w:pPr>
            <w:r>
              <w:rPr>
                <w:rFonts w:ascii="Times New Roman" w:hAnsi="Times New Roman" w:eastAsia="Times New Roman"/>
                <w:color w:val="000000"/>
                <w:sz w:val="18"/>
              </w:rPr>
              <w:t>Gradient accumulation</w:t>
            </w:r>
          </w:p>
        </w:tc>
        <w:tc>
          <w:tcPr>
            <w:tcW w:type="dxa" w:w="5100"/>
          </w:tcPr>
          <w:p>
            <w:pPr>
              <w:spacing w:before="0" w:after="0" w:line="240" w:lineRule="auto"/>
              <w:jc w:val="left"/>
            </w:pPr>
            <w:r>
              <w:rPr>
                <w:rFonts w:ascii="Times New Roman" w:hAnsi="Times New Roman" w:eastAsia="Times New Roman"/>
                <w:color w:val="000000"/>
                <w:sz w:val="18"/>
              </w:rPr>
              <w:t>2</w:t>
            </w:r>
          </w:p>
        </w:tc>
      </w:tr>
      <w:tr>
        <w:tc>
          <w:tcPr>
            <w:tcW w:type="dxa" w:w="3000"/>
          </w:tcPr>
          <w:p>
            <w:pPr>
              <w:spacing w:before="0" w:after="0" w:line="240" w:lineRule="auto"/>
              <w:jc w:val="left"/>
            </w:pPr>
            <w:r>
              <w:rPr>
                <w:rFonts w:ascii="Times New Roman" w:hAnsi="Times New Roman" w:eastAsia="Times New Roman"/>
                <w:color w:val="000000"/>
                <w:sz w:val="18"/>
              </w:rPr>
              <w:t>Maximum sequence length</w:t>
            </w:r>
          </w:p>
        </w:tc>
        <w:tc>
          <w:tcPr>
            <w:tcW w:type="dxa" w:w="5100"/>
          </w:tcPr>
          <w:p>
            <w:pPr>
              <w:spacing w:before="0" w:after="0" w:line="240" w:lineRule="auto"/>
              <w:jc w:val="left"/>
            </w:pPr>
            <w:r>
              <w:rPr>
                <w:rFonts w:ascii="Times New Roman" w:hAnsi="Times New Roman" w:eastAsia="Times New Roman"/>
                <w:color w:val="000000"/>
                <w:sz w:val="18"/>
              </w:rPr>
              <w:t>128</w:t>
            </w:r>
          </w:p>
        </w:tc>
      </w:tr>
      <w:tr>
        <w:tc>
          <w:tcPr>
            <w:tcW w:type="dxa" w:w="3000"/>
          </w:tcPr>
          <w:p>
            <w:pPr>
              <w:spacing w:before="0" w:after="0" w:line="240" w:lineRule="auto"/>
              <w:jc w:val="left"/>
            </w:pPr>
            <w:r>
              <w:rPr>
                <w:rFonts w:ascii="Times New Roman" w:hAnsi="Times New Roman" w:eastAsia="Times New Roman"/>
                <w:color w:val="000000"/>
                <w:sz w:val="18"/>
              </w:rPr>
              <w:t>Weight decay</w:t>
            </w:r>
          </w:p>
        </w:tc>
        <w:tc>
          <w:tcPr>
            <w:tcW w:type="dxa" w:w="5100"/>
          </w:tcPr>
          <w:p>
            <w:pPr>
              <w:spacing w:before="0" w:after="0" w:line="240" w:lineRule="auto"/>
              <w:jc w:val="left"/>
            </w:pPr>
            <w:r>
              <w:rPr>
                <w:rFonts w:ascii="Times New Roman" w:hAnsi="Times New Roman" w:eastAsia="Times New Roman"/>
                <w:color w:val="000000"/>
                <w:sz w:val="18"/>
              </w:rPr>
              <w:t>0.01</w:t>
            </w:r>
          </w:p>
        </w:tc>
      </w:tr>
      <w:tr>
        <w:tc>
          <w:tcPr>
            <w:tcW w:type="dxa" w:w="3000"/>
          </w:tcPr>
          <w:p>
            <w:pPr>
              <w:spacing w:before="0" w:after="0" w:line="240" w:lineRule="auto"/>
              <w:jc w:val="left"/>
            </w:pPr>
            <w:r>
              <w:rPr>
                <w:rFonts w:ascii="Times New Roman" w:hAnsi="Times New Roman" w:eastAsia="Times New Roman"/>
                <w:color w:val="000000"/>
                <w:sz w:val="18"/>
              </w:rPr>
              <w:t>Precision</w:t>
            </w:r>
          </w:p>
        </w:tc>
        <w:tc>
          <w:tcPr>
            <w:tcW w:type="dxa" w:w="5100"/>
          </w:tcPr>
          <w:p>
            <w:pPr>
              <w:spacing w:before="0" w:after="0" w:line="240" w:lineRule="auto"/>
              <w:jc w:val="left"/>
            </w:pPr>
            <w:r>
              <w:rPr>
                <w:rFonts w:ascii="Times New Roman" w:hAnsi="Times New Roman" w:eastAsia="Times New Roman"/>
                <w:color w:val="000000"/>
                <w:sz w:val="18"/>
              </w:rPr>
              <w:t>FP16</w:t>
            </w:r>
          </w:p>
        </w:tc>
      </w:tr>
      <w:tr>
        <w:tc>
          <w:tcPr>
            <w:tcW w:type="dxa" w:w="3000"/>
          </w:tcPr>
          <w:p>
            <w:pPr>
              <w:spacing w:before="0" w:after="0" w:line="240" w:lineRule="auto"/>
              <w:jc w:val="left"/>
            </w:pPr>
            <w:r>
              <w:rPr>
                <w:rFonts w:ascii="Times New Roman" w:hAnsi="Times New Roman" w:eastAsia="Times New Roman"/>
                <w:color w:val="000000"/>
                <w:sz w:val="18"/>
              </w:rPr>
              <w:t>Gradient clipping</w:t>
            </w:r>
          </w:p>
        </w:tc>
        <w:tc>
          <w:tcPr>
            <w:tcW w:type="dxa" w:w="5100"/>
          </w:tcPr>
          <w:p>
            <w:pPr>
              <w:spacing w:before="0" w:after="0" w:line="240" w:lineRule="auto"/>
              <w:jc w:val="left"/>
            </w:pPr>
            <w:r>
              <w:rPr>
                <w:rFonts w:ascii="Times New Roman" w:hAnsi="Times New Roman" w:eastAsia="Times New Roman"/>
                <w:color w:val="000000"/>
                <w:sz w:val="18"/>
              </w:rPr>
              <w:t>1.0</w:t>
            </w:r>
          </w:p>
        </w:tc>
      </w:tr>
      <w:tr>
        <w:tc>
          <w:tcPr>
            <w:tcW w:type="dxa" w:w="3000"/>
          </w:tcPr>
          <w:p>
            <w:pPr>
              <w:spacing w:before="0" w:after="0" w:line="240" w:lineRule="auto"/>
              <w:jc w:val="left"/>
            </w:pPr>
            <w:r>
              <w:rPr>
                <w:rFonts w:ascii="Times New Roman" w:hAnsi="Times New Roman" w:eastAsia="Times New Roman"/>
                <w:color w:val="000000"/>
                <w:sz w:val="18"/>
              </w:rPr>
              <w:t>Warm-up</w:t>
            </w:r>
          </w:p>
        </w:tc>
        <w:tc>
          <w:tcPr>
            <w:tcW w:type="dxa" w:w="5100"/>
          </w:tcPr>
          <w:p>
            <w:pPr>
              <w:spacing w:before="0" w:after="0" w:line="240" w:lineRule="auto"/>
              <w:jc w:val="left"/>
            </w:pPr>
            <w:r>
              <w:rPr>
                <w:rFonts w:ascii="Times New Roman" w:hAnsi="Times New Roman" w:eastAsia="Times New Roman"/>
                <w:color w:val="000000"/>
                <w:sz w:val="18"/>
              </w:rPr>
              <w:t>None</w:t>
            </w:r>
          </w:p>
        </w:tc>
      </w:tr>
      <w:tr>
        <w:tc>
          <w:tcPr>
            <w:tcW w:type="dxa" w:w="3000"/>
          </w:tcPr>
          <w:p>
            <w:pPr>
              <w:spacing w:before="0" w:after="0" w:line="240" w:lineRule="auto"/>
              <w:jc w:val="left"/>
            </w:pPr>
            <w:r>
              <w:rPr>
                <w:rFonts w:ascii="Times New Roman" w:hAnsi="Times New Roman" w:eastAsia="Times New Roman"/>
                <w:color w:val="000000"/>
                <w:sz w:val="18"/>
              </w:rPr>
              <w:t>Optimizer and schedule</w:t>
            </w:r>
          </w:p>
        </w:tc>
        <w:tc>
          <w:tcPr>
            <w:tcW w:type="dxa" w:w="5100"/>
          </w:tcPr>
          <w:p>
            <w:pPr>
              <w:spacing w:before="0" w:after="0" w:line="240" w:lineRule="auto"/>
              <w:jc w:val="left"/>
            </w:pPr>
            <w:r>
              <w:rPr>
                <w:rFonts w:ascii="Times New Roman" w:hAnsi="Times New Roman" w:eastAsia="Times New Roman"/>
                <w:color w:val="000000"/>
                <w:sz w:val="18"/>
              </w:rPr>
              <w:t>AdamW with a linear schedule</w:t>
            </w:r>
          </w:p>
        </w:tc>
      </w:tr>
      <w:tr>
        <w:tc>
          <w:tcPr>
            <w:tcW w:type="dxa" w:w="3000"/>
          </w:tcPr>
          <w:p>
            <w:pPr>
              <w:spacing w:before="0" w:after="0" w:line="240" w:lineRule="auto"/>
              <w:jc w:val="left"/>
            </w:pPr>
            <w:r>
              <w:rPr>
                <w:rFonts w:ascii="Times New Roman" w:hAnsi="Times New Roman" w:eastAsia="Times New Roman"/>
                <w:color w:val="000000"/>
                <w:sz w:val="18"/>
              </w:rPr>
              <w:t>Random seed</w:t>
            </w:r>
          </w:p>
        </w:tc>
        <w:tc>
          <w:tcPr>
            <w:tcW w:type="dxa" w:w="5100"/>
          </w:tcPr>
          <w:p>
            <w:pPr>
              <w:spacing w:before="0" w:after="0" w:line="240" w:lineRule="auto"/>
              <w:jc w:val="left"/>
            </w:pPr>
            <w:r>
              <w:rPr>
                <w:rFonts w:ascii="Times New Roman" w:hAnsi="Times New Roman" w:eastAsia="Times New Roman"/>
                <w:color w:val="000000"/>
                <w:sz w:val="18"/>
              </w:rPr>
              <w:t>No fixed training-loop seed was recorded</w:t>
            </w:r>
          </w:p>
        </w:tc>
      </w:tr>
    </w:tbl>
    <w:p>
      <w:pPr>
        <w:spacing w:after="40"/>
      </w:pPr>
    </w:p>
    <w:p>
      <w:pPr>
        <w:keepNext w:val="0"/>
        <w:spacing w:line="360" w:lineRule="auto" w:before="0" w:after="120"/>
        <w:ind w:firstLine="432"/>
        <w:jc w:val="both"/>
      </w:pPr>
      <w:r>
        <w:rPr>
          <w:rFonts w:ascii="Times New Roman" w:hAnsi="Times New Roman" w:eastAsia="Times New Roman"/>
          <w:color w:val="000000"/>
          <w:sz w:val="24"/>
        </w:rPr>
        <w:t>English-to-Prakrit performance reached its best region around epoch 15 and declined afterward. This checkpoint divergence demonstrates why the selected validation checkpoint, rather than the final epoch, must be preserved and reported.</w:t>
      </w: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4.8.6 Synthetic Data Generation and Filtering</w:t>
      </w:r>
    </w:p>
    <w:p>
      <w:pPr>
        <w:keepNext w:val="0"/>
        <w:spacing w:line="360" w:lineRule="auto" w:before="0" w:after="120"/>
        <w:ind w:firstLine="432"/>
        <w:jc w:val="both"/>
      </w:pPr>
      <w:r>
        <w:rPr>
          <w:rFonts w:ascii="Times New Roman" w:hAnsi="Times New Roman" w:eastAsia="Times New Roman"/>
          <w:color w:val="000000"/>
          <w:sz w:val="24"/>
        </w:rPr>
        <w:t>An English pool of 1,899,285 sentences was assembled from Project Gutenberg [16] and Tatoeba [17]. CTranslate2 [11] generated three Prakrit candidates for each English input. The mean pairwise word-Jaccard agreement among candidates served as a stability score. Records with a score of at least 0.40 were retained, while rejected records were archived separately.</w:t>
      </w:r>
    </w:p>
    <w:p>
      <w:pPr>
        <w:keepNext/>
        <w:spacing w:before="120" w:after="60"/>
        <w:jc w:val="center"/>
      </w:pPr>
      <w:r>
        <w:rPr>
          <w:rFonts w:ascii="Times New Roman" w:hAnsi="Times New Roman" w:eastAsia="Times New Roman"/>
          <w:color w:val="000000"/>
          <w:sz w:val="24"/>
        </w:rPr>
        <w:drawing>
          <wp:inline xmlns:a="http://schemas.openxmlformats.org/drawingml/2006/main" xmlns:pic="http://schemas.openxmlformats.org/drawingml/2006/picture">
            <wp:extent cx="5074920" cy="1623974"/>
            <wp:docPr id="8" name="Picture 8" descr="Synthetic data pipeline with candidate generation, Jaccard stability gate, and accepted and rejected counts" title="Synthetic data pipeline with candidate generation, Jaccard stability gate, and accepted and rejected counts"/>
            <wp:cNvGraphicFramePr>
              <a:graphicFrameLocks noChangeAspect="1"/>
            </wp:cNvGraphicFramePr>
            <a:graphic>
              <a:graphicData uri="http://schemas.openxmlformats.org/drawingml/2006/picture">
                <pic:pic>
                  <pic:nvPicPr>
                    <pic:cNvPr id="0" name="synthetic.png"/>
                    <pic:cNvPicPr/>
                  </pic:nvPicPr>
                  <pic:blipFill>
                    <a:blip r:embed="rId22"/>
                    <a:stretch>
                      <a:fillRect/>
                    </a:stretch>
                  </pic:blipFill>
                  <pic:spPr>
                    <a:xfrm>
                      <a:off x="0" y="0"/>
                      <a:ext cx="5074920" cy="1623974"/>
                    </a:xfrm>
                    <a:prstGeom prst="rect"/>
                  </pic:spPr>
                </pic:pic>
              </a:graphicData>
            </a:graphic>
          </wp:inline>
        </w:drawing>
      </w:r>
    </w:p>
    <w:p>
      <w:pPr>
        <w:keepLines/>
        <w:spacing w:before="0" w:after="160"/>
        <w:jc w:val="center"/>
      </w:pPr>
      <w:r>
        <w:rPr>
          <w:rFonts w:ascii="Times New Roman" w:hAnsi="Times New Roman" w:eastAsia="Times New Roman"/>
          <w:i/>
          <w:color w:val="000000"/>
          <w:sz w:val="22"/>
        </w:rPr>
        <w:t>Figure 4.3: Synthetic candidate generation and stability filtering</w:t>
      </w:r>
    </w:p>
    <w:p>
      <w:pPr>
        <w:keepNext/>
        <w:spacing w:before="140" w:after="80"/>
        <w:jc w:val="left"/>
      </w:pPr>
      <w:r>
        <w:rPr>
          <w:rFonts w:ascii="Times New Roman" w:hAnsi="Times New Roman" w:eastAsia="Times New Roman"/>
          <w:b/>
          <w:color w:val="000000"/>
          <w:sz w:val="23"/>
        </w:rPr>
        <w:t>Table 4.7: Synthetic-data generation summary</w:t>
      </w:r>
    </w:p>
    <w:tbl>
      <w:tblPr>
        <w:tblW w:type="dxa" w:w="8100"/>
        <w:jc w:val="left"/>
        <w:tblLayout w:type="fixed"/>
        <w:tblLook w:firstColumn="1" w:firstRow="1" w:lastColumn="0" w:lastRow="0" w:noHBand="0" w:noVBand="1" w:val="04A0"/>
        <w:tblInd w:w="120" w:type="dxa"/>
        <w:tblBorders>
          <w:top w:val="single" w:sz="6" w:space="0" w:color="7A7F87"/>
          <w:left w:val="single" w:sz="6" w:space="0" w:color="7A7F87"/>
          <w:bottom w:val="single" w:sz="6" w:space="0" w:color="7A7F87"/>
          <w:right w:val="single" w:sz="6" w:space="0" w:color="7A7F87"/>
          <w:insideH w:val="single" w:sz="6" w:space="0" w:color="7A7F87"/>
          <w:insideV w:val="single" w:sz="6" w:space="0" w:color="7A7F87"/>
        </w:tblBorders>
      </w:tblPr>
      <w:tblGrid>
        <w:gridCol w:w="3000"/>
        <w:gridCol w:w="1700"/>
        <w:gridCol w:w="3400"/>
      </w:tblGrid>
      <w:tr>
        <w:trPr>
          <w:cantSplit/>
          <w:tblHeader w:val="true"/>
        </w:trPr>
        <w:tc>
          <w:tcPr>
            <w:tcW w:type="dxa" w:w="30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8"/>
              </w:rPr>
              <w:t>Stage</w:t>
            </w:r>
          </w:p>
        </w:tc>
        <w:tc>
          <w:tcPr>
            <w:tcW w:type="dxa" w:w="17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8"/>
              </w:rPr>
              <w:t>Records</w:t>
            </w:r>
          </w:p>
        </w:tc>
        <w:tc>
          <w:tcPr>
            <w:tcW w:type="dxa" w:w="34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8"/>
              </w:rPr>
              <w:t>Share / Note</w:t>
            </w:r>
          </w:p>
        </w:tc>
      </w:tr>
      <w:tr>
        <w:tc>
          <w:tcPr>
            <w:tcW w:type="dxa" w:w="3000"/>
          </w:tcPr>
          <w:p>
            <w:pPr>
              <w:spacing w:before="0" w:after="0" w:line="240" w:lineRule="auto"/>
              <w:jc w:val="left"/>
            </w:pPr>
            <w:r>
              <w:rPr>
                <w:rFonts w:ascii="Times New Roman" w:hAnsi="Times New Roman" w:eastAsia="Times New Roman"/>
                <w:color w:val="000000"/>
                <w:sz w:val="18"/>
              </w:rPr>
              <w:t>English source pool</w:t>
            </w:r>
          </w:p>
        </w:tc>
        <w:tc>
          <w:tcPr>
            <w:tcW w:type="dxa" w:w="1700"/>
          </w:tcPr>
          <w:p>
            <w:pPr>
              <w:spacing w:before="0" w:after="0" w:line="240" w:lineRule="auto"/>
              <w:jc w:val="center"/>
            </w:pPr>
            <w:r>
              <w:rPr>
                <w:rFonts w:ascii="Times New Roman" w:hAnsi="Times New Roman" w:eastAsia="Times New Roman"/>
                <w:color w:val="000000"/>
                <w:sz w:val="18"/>
              </w:rPr>
              <w:t>1,899,285</w:t>
            </w:r>
          </w:p>
        </w:tc>
        <w:tc>
          <w:tcPr>
            <w:tcW w:type="dxa" w:w="3400"/>
          </w:tcPr>
          <w:p>
            <w:pPr>
              <w:spacing w:before="0" w:after="0" w:line="240" w:lineRule="auto"/>
              <w:jc w:val="left"/>
            </w:pPr>
            <w:r>
              <w:rPr>
                <w:rFonts w:ascii="Times New Roman" w:hAnsi="Times New Roman" w:eastAsia="Times New Roman"/>
                <w:color w:val="000000"/>
                <w:sz w:val="18"/>
              </w:rPr>
              <w:t>Gutenberg + Tatoeba</w:t>
            </w:r>
          </w:p>
        </w:tc>
      </w:tr>
      <w:tr>
        <w:tc>
          <w:tcPr>
            <w:tcW w:type="dxa" w:w="3000"/>
          </w:tcPr>
          <w:p>
            <w:pPr>
              <w:spacing w:before="0" w:after="0" w:line="240" w:lineRule="auto"/>
              <w:jc w:val="left"/>
            </w:pPr>
            <w:r>
              <w:rPr>
                <w:rFonts w:ascii="Times New Roman" w:hAnsi="Times New Roman" w:eastAsia="Times New Roman"/>
                <w:color w:val="000000"/>
                <w:sz w:val="18"/>
              </w:rPr>
              <w:t>Generated candidate sets</w:t>
            </w:r>
          </w:p>
        </w:tc>
        <w:tc>
          <w:tcPr>
            <w:tcW w:type="dxa" w:w="1700"/>
          </w:tcPr>
          <w:p>
            <w:pPr>
              <w:spacing w:before="0" w:after="0" w:line="240" w:lineRule="auto"/>
              <w:jc w:val="center"/>
            </w:pPr>
            <w:r>
              <w:rPr>
                <w:rFonts w:ascii="Times New Roman" w:hAnsi="Times New Roman" w:eastAsia="Times New Roman"/>
                <w:color w:val="000000"/>
                <w:sz w:val="18"/>
              </w:rPr>
              <w:t>1,899,285</w:t>
            </w:r>
          </w:p>
        </w:tc>
        <w:tc>
          <w:tcPr>
            <w:tcW w:type="dxa" w:w="3400"/>
          </w:tcPr>
          <w:p>
            <w:pPr>
              <w:spacing w:before="0" w:after="0" w:line="240" w:lineRule="auto"/>
              <w:jc w:val="left"/>
            </w:pPr>
            <w:r>
              <w:rPr>
                <w:rFonts w:ascii="Times New Roman" w:hAnsi="Times New Roman" w:eastAsia="Times New Roman"/>
                <w:color w:val="000000"/>
                <w:sz w:val="18"/>
              </w:rPr>
              <w:t>Three candidates per source</w:t>
            </w:r>
          </w:p>
        </w:tc>
      </w:tr>
      <w:tr>
        <w:tc>
          <w:tcPr>
            <w:tcW w:type="dxa" w:w="3000"/>
          </w:tcPr>
          <w:p>
            <w:pPr>
              <w:spacing w:before="0" w:after="0" w:line="240" w:lineRule="auto"/>
              <w:jc w:val="left"/>
            </w:pPr>
            <w:r>
              <w:rPr>
                <w:rFonts w:ascii="Times New Roman" w:hAnsi="Times New Roman" w:eastAsia="Times New Roman"/>
                <w:color w:val="000000"/>
                <w:sz w:val="18"/>
              </w:rPr>
              <w:t>Accepted synthetic records</w:t>
            </w:r>
          </w:p>
        </w:tc>
        <w:tc>
          <w:tcPr>
            <w:tcW w:type="dxa" w:w="1700"/>
          </w:tcPr>
          <w:p>
            <w:pPr>
              <w:spacing w:before="0" w:after="0" w:line="240" w:lineRule="auto"/>
              <w:jc w:val="center"/>
            </w:pPr>
            <w:r>
              <w:rPr>
                <w:rFonts w:ascii="Times New Roman" w:hAnsi="Times New Roman" w:eastAsia="Times New Roman"/>
                <w:color w:val="000000"/>
                <w:sz w:val="18"/>
              </w:rPr>
              <w:t>1,513,093</w:t>
            </w:r>
          </w:p>
        </w:tc>
        <w:tc>
          <w:tcPr>
            <w:tcW w:type="dxa" w:w="3400"/>
          </w:tcPr>
          <w:p>
            <w:pPr>
              <w:spacing w:before="0" w:after="0" w:line="240" w:lineRule="auto"/>
              <w:jc w:val="left"/>
            </w:pPr>
            <w:r>
              <w:rPr>
                <w:rFonts w:ascii="Times New Roman" w:hAnsi="Times New Roman" w:eastAsia="Times New Roman"/>
                <w:color w:val="000000"/>
                <w:sz w:val="18"/>
              </w:rPr>
              <w:t>79.7%; stability &gt;= 0.40</w:t>
            </w:r>
          </w:p>
        </w:tc>
      </w:tr>
      <w:tr>
        <w:tc>
          <w:tcPr>
            <w:tcW w:type="dxa" w:w="3000"/>
          </w:tcPr>
          <w:p>
            <w:pPr>
              <w:spacing w:before="0" w:after="0" w:line="240" w:lineRule="auto"/>
              <w:jc w:val="left"/>
            </w:pPr>
            <w:r>
              <w:rPr>
                <w:rFonts w:ascii="Times New Roman" w:hAnsi="Times New Roman" w:eastAsia="Times New Roman"/>
                <w:color w:val="000000"/>
                <w:sz w:val="18"/>
              </w:rPr>
              <w:t>Rejected records</w:t>
            </w:r>
          </w:p>
        </w:tc>
        <w:tc>
          <w:tcPr>
            <w:tcW w:type="dxa" w:w="1700"/>
          </w:tcPr>
          <w:p>
            <w:pPr>
              <w:spacing w:before="0" w:after="0" w:line="240" w:lineRule="auto"/>
              <w:jc w:val="center"/>
            </w:pPr>
            <w:r>
              <w:rPr>
                <w:rFonts w:ascii="Times New Roman" w:hAnsi="Times New Roman" w:eastAsia="Times New Roman"/>
                <w:color w:val="000000"/>
                <w:sz w:val="18"/>
              </w:rPr>
              <w:t>386,192</w:t>
            </w:r>
          </w:p>
        </w:tc>
        <w:tc>
          <w:tcPr>
            <w:tcW w:type="dxa" w:w="3400"/>
          </w:tcPr>
          <w:p>
            <w:pPr>
              <w:spacing w:before="0" w:after="0" w:line="240" w:lineRule="auto"/>
              <w:jc w:val="left"/>
            </w:pPr>
            <w:r>
              <w:rPr>
                <w:rFonts w:ascii="Times New Roman" w:hAnsi="Times New Roman" w:eastAsia="Times New Roman"/>
                <w:color w:val="000000"/>
                <w:sz w:val="18"/>
              </w:rPr>
              <w:t>20.3%; retained for audit</w:t>
            </w:r>
          </w:p>
        </w:tc>
      </w:tr>
    </w:tbl>
    <w:p>
      <w:pPr>
        <w:spacing w:after="40"/>
      </w:pPr>
    </w:p>
    <w:p>
      <w:pPr>
        <w:spacing w:before="120" w:after="160" w:line="312" w:lineRule="auto"/>
        <w:ind w:left="259" w:right="115"/>
        <w:jc w:val="both"/>
        <w:shd w:fill="EAF5FB"/>
        <w:pBdr>
          <w:left w:val="single" w:sz="18" w:space="10" w:color="3D8DFF"/>
        </w:pBdr>
      </w:pPr>
      <w:r>
        <w:rPr>
          <w:rFonts w:ascii="Times New Roman" w:hAnsi="Times New Roman" w:eastAsia="Times New Roman"/>
          <w:i/>
          <w:color w:val="20324A"/>
          <w:sz w:val="24"/>
        </w:rPr>
        <w:t>The stability filter measures agreement among generated candidates, not human-verified semantic correctness. The accepted collection is therefore a quality-filtered synthetic resource, not a gold-standard parallel corpus.</w:t>
      </w: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4.8.7 Prakrit-to-Sanskrit Lexical Task</w:t>
      </w:r>
    </w:p>
    <w:p>
      <w:pPr>
        <w:keepNext w:val="0"/>
        <w:spacing w:line="360" w:lineRule="auto" w:before="0" w:after="120"/>
        <w:ind w:firstLine="432"/>
        <w:jc w:val="both"/>
      </w:pPr>
      <w:r>
        <w:rPr>
          <w:rFonts w:ascii="Times New Roman" w:hAnsi="Times New Roman" w:eastAsia="Times New Roman"/>
          <w:color w:val="000000"/>
          <w:sz w:val="24"/>
        </w:rPr>
        <w:t>The raw lexical resource contained 1,433 records. After removing 395 records without a usable Devanagari span and deduplicating by surface-form and lemma pair, 1,038 mappings remained. Fifty-four lemmas had multiple surface forms, and eight of these lemmas appeared across both training and evaluation splits, creating a disclosed leakage risk.</w:t>
      </w:r>
    </w:p>
    <w:p>
      <w:pPr>
        <w:keepNext/>
        <w:spacing w:before="140" w:after="80"/>
        <w:jc w:val="left"/>
      </w:pPr>
      <w:r>
        <w:rPr>
          <w:rFonts w:ascii="Times New Roman" w:hAnsi="Times New Roman" w:eastAsia="Times New Roman"/>
          <w:b/>
          <w:color w:val="000000"/>
          <w:sz w:val="23"/>
        </w:rPr>
        <w:t>Table 4.8: Prakrit-Sanskrit lexical experiment</w:t>
      </w:r>
    </w:p>
    <w:tbl>
      <w:tblPr>
        <w:tblW w:type="dxa" w:w="8100"/>
        <w:jc w:val="left"/>
        <w:tblLayout w:type="fixed"/>
        <w:tblLook w:firstColumn="1" w:firstRow="1" w:lastColumn="0" w:lastRow="0" w:noHBand="0" w:noVBand="1" w:val="04A0"/>
        <w:tblInd w:w="120" w:type="dxa"/>
        <w:tblBorders>
          <w:top w:val="single" w:sz="6" w:space="0" w:color="7A7F87"/>
          <w:left w:val="single" w:sz="6" w:space="0" w:color="7A7F87"/>
          <w:bottom w:val="single" w:sz="6" w:space="0" w:color="7A7F87"/>
          <w:right w:val="single" w:sz="6" w:space="0" w:color="7A7F87"/>
          <w:insideH w:val="single" w:sz="6" w:space="0" w:color="7A7F87"/>
          <w:insideV w:val="single" w:sz="6" w:space="0" w:color="7A7F87"/>
        </w:tblBorders>
      </w:tblPr>
      <w:tblGrid>
        <w:gridCol w:w="4100"/>
        <w:gridCol w:w="4000"/>
      </w:tblGrid>
      <w:tr>
        <w:trPr>
          <w:cantSplit/>
          <w:tblHeader w:val="true"/>
        </w:trPr>
        <w:tc>
          <w:tcPr>
            <w:tcW w:type="dxa" w:w="41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8"/>
              </w:rPr>
              <w:t>Item</w:t>
            </w:r>
          </w:p>
        </w:tc>
        <w:tc>
          <w:tcPr>
            <w:tcW w:type="dxa" w:w="40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8"/>
              </w:rPr>
              <w:t>Configuration / Count</w:t>
            </w:r>
          </w:p>
        </w:tc>
      </w:tr>
      <w:tr>
        <w:tc>
          <w:tcPr>
            <w:tcW w:type="dxa" w:w="4100"/>
          </w:tcPr>
          <w:p>
            <w:pPr>
              <w:spacing w:before="0" w:after="0" w:line="240" w:lineRule="auto"/>
              <w:jc w:val="left"/>
            </w:pPr>
            <w:r>
              <w:rPr>
                <w:rFonts w:ascii="Times New Roman" w:hAnsi="Times New Roman" w:eastAsia="Times New Roman"/>
                <w:color w:val="000000"/>
                <w:sz w:val="18"/>
              </w:rPr>
              <w:t>Raw records</w:t>
            </w:r>
          </w:p>
        </w:tc>
        <w:tc>
          <w:tcPr>
            <w:tcW w:type="dxa" w:w="4000"/>
          </w:tcPr>
          <w:p>
            <w:pPr>
              <w:spacing w:before="0" w:after="0" w:line="240" w:lineRule="auto"/>
              <w:jc w:val="left"/>
            </w:pPr>
            <w:r>
              <w:rPr>
                <w:rFonts w:ascii="Times New Roman" w:hAnsi="Times New Roman" w:eastAsia="Times New Roman"/>
                <w:color w:val="000000"/>
                <w:sz w:val="18"/>
              </w:rPr>
              <w:t>1,433</w:t>
            </w:r>
          </w:p>
        </w:tc>
      </w:tr>
      <w:tr>
        <w:tc>
          <w:tcPr>
            <w:tcW w:type="dxa" w:w="4100"/>
          </w:tcPr>
          <w:p>
            <w:pPr>
              <w:spacing w:before="0" w:after="0" w:line="240" w:lineRule="auto"/>
              <w:jc w:val="left"/>
            </w:pPr>
            <w:r>
              <w:rPr>
                <w:rFonts w:ascii="Times New Roman" w:hAnsi="Times New Roman" w:eastAsia="Times New Roman"/>
                <w:color w:val="000000"/>
                <w:sz w:val="18"/>
              </w:rPr>
              <w:t>Discarded without valid Devanagari span</w:t>
            </w:r>
          </w:p>
        </w:tc>
        <w:tc>
          <w:tcPr>
            <w:tcW w:type="dxa" w:w="4000"/>
          </w:tcPr>
          <w:p>
            <w:pPr>
              <w:spacing w:before="0" w:after="0" w:line="240" w:lineRule="auto"/>
              <w:jc w:val="left"/>
            </w:pPr>
            <w:r>
              <w:rPr>
                <w:rFonts w:ascii="Times New Roman" w:hAnsi="Times New Roman" w:eastAsia="Times New Roman"/>
                <w:color w:val="000000"/>
                <w:sz w:val="18"/>
              </w:rPr>
              <w:t>395</w:t>
            </w:r>
          </w:p>
        </w:tc>
      </w:tr>
      <w:tr>
        <w:tc>
          <w:tcPr>
            <w:tcW w:type="dxa" w:w="4100"/>
          </w:tcPr>
          <w:p>
            <w:pPr>
              <w:spacing w:before="0" w:after="0" w:line="240" w:lineRule="auto"/>
              <w:jc w:val="left"/>
            </w:pPr>
            <w:r>
              <w:rPr>
                <w:rFonts w:ascii="Times New Roman" w:hAnsi="Times New Roman" w:eastAsia="Times New Roman"/>
                <w:color w:val="000000"/>
                <w:sz w:val="18"/>
              </w:rPr>
              <w:t>Usable mappings</w:t>
            </w:r>
          </w:p>
        </w:tc>
        <w:tc>
          <w:tcPr>
            <w:tcW w:type="dxa" w:w="4000"/>
          </w:tcPr>
          <w:p>
            <w:pPr>
              <w:spacing w:before="0" w:after="0" w:line="240" w:lineRule="auto"/>
              <w:jc w:val="left"/>
            </w:pPr>
            <w:r>
              <w:rPr>
                <w:rFonts w:ascii="Times New Roman" w:hAnsi="Times New Roman" w:eastAsia="Times New Roman"/>
                <w:color w:val="000000"/>
                <w:sz w:val="18"/>
              </w:rPr>
              <w:t>1,038</w:t>
            </w:r>
          </w:p>
        </w:tc>
      </w:tr>
      <w:tr>
        <w:tc>
          <w:tcPr>
            <w:tcW w:type="dxa" w:w="4100"/>
          </w:tcPr>
          <w:p>
            <w:pPr>
              <w:spacing w:before="0" w:after="0" w:line="240" w:lineRule="auto"/>
              <w:jc w:val="left"/>
            </w:pPr>
            <w:r>
              <w:rPr>
                <w:rFonts w:ascii="Times New Roman" w:hAnsi="Times New Roman" w:eastAsia="Times New Roman"/>
                <w:color w:val="000000"/>
                <w:sz w:val="18"/>
              </w:rPr>
              <w:t>Train / evaluation split</w:t>
            </w:r>
          </w:p>
        </w:tc>
        <w:tc>
          <w:tcPr>
            <w:tcW w:type="dxa" w:w="4000"/>
          </w:tcPr>
          <w:p>
            <w:pPr>
              <w:spacing w:before="0" w:after="0" w:line="240" w:lineRule="auto"/>
              <w:jc w:val="left"/>
            </w:pPr>
            <w:r>
              <w:rPr>
                <w:rFonts w:ascii="Times New Roman" w:hAnsi="Times New Roman" w:eastAsia="Times New Roman"/>
                <w:color w:val="000000"/>
                <w:sz w:val="18"/>
              </w:rPr>
              <w:t>934 / 104</w:t>
            </w:r>
          </w:p>
        </w:tc>
      </w:tr>
      <w:tr>
        <w:tc>
          <w:tcPr>
            <w:tcW w:type="dxa" w:w="4100"/>
          </w:tcPr>
          <w:p>
            <w:pPr>
              <w:spacing w:before="0" w:after="0" w:line="240" w:lineRule="auto"/>
              <w:jc w:val="left"/>
            </w:pPr>
            <w:r>
              <w:rPr>
                <w:rFonts w:ascii="Times New Roman" w:hAnsi="Times New Roman" w:eastAsia="Times New Roman"/>
                <w:color w:val="000000"/>
                <w:sz w:val="18"/>
              </w:rPr>
              <w:t>Multi-form lemmas</w:t>
            </w:r>
          </w:p>
        </w:tc>
        <w:tc>
          <w:tcPr>
            <w:tcW w:type="dxa" w:w="4000"/>
          </w:tcPr>
          <w:p>
            <w:pPr>
              <w:spacing w:before="0" w:after="0" w:line="240" w:lineRule="auto"/>
              <w:jc w:val="left"/>
            </w:pPr>
            <w:r>
              <w:rPr>
                <w:rFonts w:ascii="Times New Roman" w:hAnsi="Times New Roman" w:eastAsia="Times New Roman"/>
                <w:color w:val="000000"/>
                <w:sz w:val="18"/>
              </w:rPr>
              <w:t>54</w:t>
            </w:r>
          </w:p>
        </w:tc>
      </w:tr>
      <w:tr>
        <w:tc>
          <w:tcPr>
            <w:tcW w:type="dxa" w:w="4100"/>
          </w:tcPr>
          <w:p>
            <w:pPr>
              <w:spacing w:before="0" w:after="0" w:line="240" w:lineRule="auto"/>
              <w:jc w:val="left"/>
            </w:pPr>
            <w:r>
              <w:rPr>
                <w:rFonts w:ascii="Times New Roman" w:hAnsi="Times New Roman" w:eastAsia="Times New Roman"/>
                <w:color w:val="000000"/>
                <w:sz w:val="18"/>
              </w:rPr>
              <w:t>Multi-form lemmas crossing split</w:t>
            </w:r>
          </w:p>
        </w:tc>
        <w:tc>
          <w:tcPr>
            <w:tcW w:type="dxa" w:w="4000"/>
          </w:tcPr>
          <w:p>
            <w:pPr>
              <w:spacing w:before="0" w:after="0" w:line="240" w:lineRule="auto"/>
              <w:jc w:val="left"/>
            </w:pPr>
            <w:r>
              <w:rPr>
                <w:rFonts w:ascii="Times New Roman" w:hAnsi="Times New Roman" w:eastAsia="Times New Roman"/>
                <w:color w:val="000000"/>
                <w:sz w:val="18"/>
              </w:rPr>
              <w:t>8</w:t>
            </w:r>
          </w:p>
        </w:tc>
      </w:tr>
      <w:tr>
        <w:tc>
          <w:tcPr>
            <w:tcW w:type="dxa" w:w="4100"/>
          </w:tcPr>
          <w:p>
            <w:pPr>
              <w:spacing w:before="0" w:after="0" w:line="240" w:lineRule="auto"/>
              <w:jc w:val="left"/>
            </w:pPr>
            <w:r>
              <w:rPr>
                <w:rFonts w:ascii="Times New Roman" w:hAnsi="Times New Roman" w:eastAsia="Times New Roman"/>
                <w:color w:val="000000"/>
                <w:sz w:val="18"/>
              </w:rPr>
              <w:t>Epochs / learning rate</w:t>
            </w:r>
          </w:p>
        </w:tc>
        <w:tc>
          <w:tcPr>
            <w:tcW w:type="dxa" w:w="4000"/>
          </w:tcPr>
          <w:p>
            <w:pPr>
              <w:spacing w:before="0" w:after="0" w:line="240" w:lineRule="auto"/>
              <w:jc w:val="left"/>
            </w:pPr>
            <w:r>
              <w:rPr>
                <w:rFonts w:ascii="Times New Roman" w:hAnsi="Times New Roman" w:eastAsia="Times New Roman"/>
                <w:color w:val="000000"/>
                <w:sz w:val="18"/>
              </w:rPr>
              <w:t>8 / 3e-5</w:t>
            </w:r>
          </w:p>
        </w:tc>
      </w:tr>
      <w:tr>
        <w:tc>
          <w:tcPr>
            <w:tcW w:type="dxa" w:w="4100"/>
          </w:tcPr>
          <w:p>
            <w:pPr>
              <w:spacing w:before="0" w:after="0" w:line="240" w:lineRule="auto"/>
              <w:jc w:val="left"/>
            </w:pPr>
            <w:r>
              <w:rPr>
                <w:rFonts w:ascii="Times New Roman" w:hAnsi="Times New Roman" w:eastAsia="Times New Roman"/>
                <w:color w:val="000000"/>
                <w:sz w:val="18"/>
              </w:rPr>
              <w:t>Batch / gradient accumulation</w:t>
            </w:r>
          </w:p>
        </w:tc>
        <w:tc>
          <w:tcPr>
            <w:tcW w:type="dxa" w:w="4000"/>
          </w:tcPr>
          <w:p>
            <w:pPr>
              <w:spacing w:before="0" w:after="0" w:line="240" w:lineRule="auto"/>
              <w:jc w:val="left"/>
            </w:pPr>
            <w:r>
              <w:rPr>
                <w:rFonts w:ascii="Times New Roman" w:hAnsi="Times New Roman" w:eastAsia="Times New Roman"/>
                <w:color w:val="000000"/>
                <w:sz w:val="18"/>
              </w:rPr>
              <w:t>16 / 2</w:t>
            </w:r>
          </w:p>
        </w:tc>
      </w:tr>
      <w:tr>
        <w:tc>
          <w:tcPr>
            <w:tcW w:type="dxa" w:w="4100"/>
          </w:tcPr>
          <w:p>
            <w:pPr>
              <w:spacing w:before="0" w:after="0" w:line="240" w:lineRule="auto"/>
              <w:jc w:val="left"/>
            </w:pPr>
            <w:r>
              <w:rPr>
                <w:rFonts w:ascii="Times New Roman" w:hAnsi="Times New Roman" w:eastAsia="Times New Roman"/>
                <w:color w:val="000000"/>
                <w:sz w:val="18"/>
              </w:rPr>
              <w:t>Maximum length / weight decay</w:t>
            </w:r>
          </w:p>
        </w:tc>
        <w:tc>
          <w:tcPr>
            <w:tcW w:type="dxa" w:w="4000"/>
          </w:tcPr>
          <w:p>
            <w:pPr>
              <w:spacing w:before="0" w:after="0" w:line="240" w:lineRule="auto"/>
              <w:jc w:val="left"/>
            </w:pPr>
            <w:r>
              <w:rPr>
                <w:rFonts w:ascii="Times New Roman" w:hAnsi="Times New Roman" w:eastAsia="Times New Roman"/>
                <w:color w:val="000000"/>
                <w:sz w:val="18"/>
              </w:rPr>
              <w:t>32 / 0.10</w:t>
            </w:r>
          </w:p>
        </w:tc>
      </w:tr>
      <w:tr>
        <w:tc>
          <w:tcPr>
            <w:tcW w:type="dxa" w:w="4100"/>
          </w:tcPr>
          <w:p>
            <w:pPr>
              <w:spacing w:before="0" w:after="0" w:line="240" w:lineRule="auto"/>
              <w:jc w:val="left"/>
            </w:pPr>
            <w:r>
              <w:rPr>
                <w:rFonts w:ascii="Times New Roman" w:hAnsi="Times New Roman" w:eastAsia="Times New Roman"/>
                <w:color w:val="000000"/>
                <w:sz w:val="18"/>
              </w:rPr>
              <w:t>Additional dropout values</w:t>
            </w:r>
          </w:p>
        </w:tc>
        <w:tc>
          <w:tcPr>
            <w:tcW w:type="dxa" w:w="4000"/>
          </w:tcPr>
          <w:p>
            <w:pPr>
              <w:spacing w:before="0" w:after="0" w:line="240" w:lineRule="auto"/>
              <w:jc w:val="left"/>
            </w:pPr>
            <w:r>
              <w:rPr>
                <w:rFonts w:ascii="Times New Roman" w:hAnsi="Times New Roman" w:eastAsia="Times New Roman"/>
                <w:color w:val="000000"/>
                <w:sz w:val="18"/>
              </w:rPr>
              <w:t>0.3 / 0.2 / 0.2</w:t>
            </w:r>
          </w:p>
        </w:tc>
      </w:tr>
    </w:tbl>
    <w:p>
      <w:pPr>
        <w:spacing w:after="40"/>
      </w:pP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4.8.8 Evaluation Protocol</w:t>
      </w:r>
    </w:p>
    <w:p>
      <w:pPr>
        <w:keepNext w:val="0"/>
        <w:spacing w:line="360" w:lineRule="auto" w:before="0" w:after="120"/>
        <w:ind w:firstLine="432"/>
        <w:jc w:val="both"/>
      </w:pPr>
      <w:r>
        <w:rPr>
          <w:rFonts w:ascii="Times New Roman" w:hAnsi="Times New Roman" w:eastAsia="Times New Roman"/>
          <w:color w:val="000000"/>
          <w:sz w:val="24"/>
        </w:rPr>
        <w:t>Translation quality was measured primarily with BLEU, which combines modified n-gram precision with a brevity penalty [7]. The report follows the recommendation to describe BLEU computation and avoid treating a score as a complete measure of semantic correctness [8]. Lexical mapping was evaluated with exact match, longest-common-subsequence similarity, and a three-character-prefix measure because exact match alone can hide partially correct or morphologically related outputs.</w:t>
      </w:r>
    </w:p>
    <w:p>
      <w:pPr>
        <w:keepNext w:val="0"/>
        <w:spacing w:line="360" w:lineRule="auto" w:before="0" w:after="120"/>
        <w:ind w:firstLine="432"/>
        <w:jc w:val="both"/>
      </w:pPr>
      <w:r>
        <w:rPr>
          <w:rFonts w:ascii="Times New Roman" w:hAnsi="Times New Roman" w:eastAsia="Times New Roman"/>
          <w:color w:val="000000"/>
          <w:sz w:val="24"/>
        </w:rPr>
        <w:t>Automatic evaluation was paired with data audits. The 200-pair held-out set was also used for checkpoint selection and final scoring, so it is not an independent test set. No broad claim is made about unseen dialects, historical periods, or domains, and philologist-led human evaluation remains essential.</w:t>
      </w:r>
    </w:p>
    <w:p>
      <w:pPr>
        <w:pStyle w:val="Heading2"/>
        <w:keepNext/>
        <w:keepLines/>
        <w:pageBreakBefore/>
        <w:spacing w:before="160" w:after="120" w:line="240" w:lineRule="auto"/>
        <w:jc w:val="left"/>
        <w:outlineLvl w:val="1"/>
      </w:pPr>
      <w:r>
        <w:rPr>
          <w:rFonts w:ascii="Times New Roman" w:hAnsi="Times New Roman" w:eastAsia="Times New Roman"/>
          <w:b/>
          <w:color w:val="000000"/>
          <w:sz w:val="24"/>
        </w:rPr>
        <w:t>4.9 Expected and Achieved Outcomes</w:t>
      </w: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4.9.1 Expected Outputs</w:t>
      </w:r>
    </w:p>
    <w:p>
      <w:pPr>
        <w:spacing w:line="360" w:lineRule="auto" w:after="60"/>
        <w:ind w:left="360" w:hanging="216"/>
        <w:jc w:val="both"/>
      </w:pPr>
      <w:r>
        <w:rPr>
          <w:rFonts w:ascii="Times New Roman" w:hAnsi="Times New Roman" w:eastAsia="Times New Roman"/>
          <w:color w:val="000000"/>
          <w:sz w:val="24"/>
        </w:rPr>
        <w:t>• A cleaned and documented Prakrit-English seed corpus.</w:t>
      </w:r>
    </w:p>
    <w:p>
      <w:pPr>
        <w:spacing w:line="360" w:lineRule="auto" w:after="60"/>
        <w:ind w:left="360" w:hanging="216"/>
        <w:jc w:val="both"/>
      </w:pPr>
      <w:r>
        <w:rPr>
          <w:rFonts w:ascii="Times New Roman" w:hAnsi="Times New Roman" w:eastAsia="Times New Roman"/>
          <w:color w:val="000000"/>
          <w:sz w:val="24"/>
        </w:rPr>
        <w:t>• Functional Prakrit-to-English and English-to-Prakrit translation models.</w:t>
      </w:r>
    </w:p>
    <w:p>
      <w:pPr>
        <w:spacing w:line="360" w:lineRule="auto" w:after="60"/>
        <w:ind w:left="360" w:hanging="216"/>
        <w:jc w:val="both"/>
      </w:pPr>
      <w:r>
        <w:rPr>
          <w:rFonts w:ascii="Times New Roman" w:hAnsi="Times New Roman" w:eastAsia="Times New Roman"/>
          <w:color w:val="000000"/>
          <w:sz w:val="24"/>
        </w:rPr>
        <w:t>• A directional checkpoint-transfer procedure and reproducible training configuration.</w:t>
      </w:r>
    </w:p>
    <w:p>
      <w:pPr>
        <w:spacing w:line="360" w:lineRule="auto" w:after="60"/>
        <w:ind w:left="360" w:hanging="216"/>
        <w:jc w:val="both"/>
      </w:pPr>
      <w:r>
        <w:rPr>
          <w:rFonts w:ascii="Times New Roman" w:hAnsi="Times New Roman" w:eastAsia="Times New Roman"/>
          <w:color w:val="000000"/>
          <w:sz w:val="24"/>
        </w:rPr>
        <w:t>• A synthetic candidate generation and filtering workflow.</w:t>
      </w:r>
    </w:p>
    <w:p>
      <w:pPr>
        <w:spacing w:line="360" w:lineRule="auto" w:after="60"/>
        <w:ind w:left="360" w:hanging="216"/>
        <w:jc w:val="both"/>
      </w:pPr>
      <w:r>
        <w:rPr>
          <w:rFonts w:ascii="Times New Roman" w:hAnsi="Times New Roman" w:eastAsia="Times New Roman"/>
          <w:color w:val="000000"/>
          <w:sz w:val="24"/>
        </w:rPr>
        <w:t>• An exploratory Prakrit-to-Sanskrit lexical model.</w:t>
      </w:r>
    </w:p>
    <w:p>
      <w:pPr>
        <w:spacing w:line="360" w:lineRule="auto" w:after="60"/>
        <w:ind w:left="360" w:hanging="216"/>
        <w:jc w:val="both"/>
      </w:pPr>
      <w:r>
        <w:rPr>
          <w:rFonts w:ascii="Times New Roman" w:hAnsi="Times New Roman" w:eastAsia="Times New Roman"/>
          <w:color w:val="000000"/>
          <w:sz w:val="24"/>
        </w:rPr>
        <w:t>• Comparative baseline experiments, limitations, and learning documentation.</w:t>
      </w: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4.9.2 Achieved Results</w:t>
      </w:r>
    </w:p>
    <w:p>
      <w:pPr>
        <w:keepNext/>
        <w:spacing w:before="140" w:after="80"/>
        <w:jc w:val="left"/>
      </w:pPr>
      <w:r>
        <w:rPr>
          <w:rFonts w:ascii="Times New Roman" w:hAnsi="Times New Roman" w:eastAsia="Times New Roman"/>
          <w:b/>
          <w:color w:val="000000"/>
          <w:sz w:val="23"/>
        </w:rPr>
        <w:t>Table 4.9: Expected and achieved project outcomes</w:t>
      </w:r>
    </w:p>
    <w:tbl>
      <w:tblPr>
        <w:tblW w:type="dxa" w:w="8100"/>
        <w:jc w:val="left"/>
        <w:tblLayout w:type="fixed"/>
        <w:tblLook w:firstColumn="1" w:firstRow="1" w:lastColumn="0" w:lastRow="0" w:noHBand="0" w:noVBand="1" w:val="04A0"/>
        <w:tblInd w:w="120" w:type="dxa"/>
        <w:tblBorders>
          <w:top w:val="single" w:sz="6" w:space="0" w:color="7A7F87"/>
          <w:left w:val="single" w:sz="6" w:space="0" w:color="7A7F87"/>
          <w:bottom w:val="single" w:sz="6" w:space="0" w:color="7A7F87"/>
          <w:right w:val="single" w:sz="6" w:space="0" w:color="7A7F87"/>
          <w:insideH w:val="single" w:sz="6" w:space="0" w:color="7A7F87"/>
          <w:insideV w:val="single" w:sz="6" w:space="0" w:color="7A7F87"/>
        </w:tblBorders>
      </w:tblPr>
      <w:tblGrid>
        <w:gridCol w:w="2700"/>
        <w:gridCol w:w="3500"/>
        <w:gridCol w:w="1900"/>
      </w:tblGrid>
      <w:tr>
        <w:trPr>
          <w:cantSplit/>
          <w:tblHeader w:val="true"/>
        </w:trPr>
        <w:tc>
          <w:tcPr>
            <w:tcW w:type="dxa" w:w="27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7"/>
              </w:rPr>
              <w:t>Component</w:t>
            </w:r>
          </w:p>
        </w:tc>
        <w:tc>
          <w:tcPr>
            <w:tcW w:type="dxa" w:w="35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7"/>
              </w:rPr>
              <w:t>Reported Outcome</w:t>
            </w:r>
          </w:p>
        </w:tc>
        <w:tc>
          <w:tcPr>
            <w:tcW w:type="dxa" w:w="19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7"/>
              </w:rPr>
              <w:t>Status</w:t>
            </w:r>
          </w:p>
        </w:tc>
      </w:tr>
      <w:tr>
        <w:tc>
          <w:tcPr>
            <w:tcW w:type="dxa" w:w="2700"/>
          </w:tcPr>
          <w:p>
            <w:pPr>
              <w:spacing w:before="0" w:after="0" w:line="240" w:lineRule="auto"/>
              <w:jc w:val="left"/>
            </w:pPr>
            <w:r>
              <w:rPr>
                <w:rFonts w:ascii="Times New Roman" w:hAnsi="Times New Roman" w:eastAsia="Times New Roman"/>
                <w:color w:val="000000"/>
                <w:sz w:val="17"/>
              </w:rPr>
              <w:t>Cleaned seed corpus</w:t>
            </w:r>
          </w:p>
        </w:tc>
        <w:tc>
          <w:tcPr>
            <w:tcW w:type="dxa" w:w="3500"/>
          </w:tcPr>
          <w:p>
            <w:pPr>
              <w:spacing w:before="0" w:after="0" w:line="240" w:lineRule="auto"/>
              <w:jc w:val="left"/>
            </w:pPr>
            <w:r>
              <w:rPr>
                <w:rFonts w:ascii="Times New Roman" w:hAnsi="Times New Roman" w:eastAsia="Times New Roman"/>
                <w:color w:val="000000"/>
                <w:sz w:val="17"/>
              </w:rPr>
              <w:t>1,696 pairs; 1,496 train / 200 evaluation</w:t>
            </w:r>
          </w:p>
        </w:tc>
        <w:tc>
          <w:tcPr>
            <w:tcW w:type="dxa" w:w="1900"/>
          </w:tcPr>
          <w:p>
            <w:pPr>
              <w:spacing w:before="0" w:after="0" w:line="240" w:lineRule="auto"/>
              <w:jc w:val="left"/>
            </w:pPr>
            <w:r>
              <w:rPr>
                <w:rFonts w:ascii="Times New Roman" w:hAnsi="Times New Roman" w:eastAsia="Times New Roman"/>
                <w:color w:val="000000"/>
                <w:sz w:val="17"/>
              </w:rPr>
              <w:t>Achieved</w:t>
            </w:r>
          </w:p>
        </w:tc>
      </w:tr>
      <w:tr>
        <w:tc>
          <w:tcPr>
            <w:tcW w:type="dxa" w:w="2700"/>
          </w:tcPr>
          <w:p>
            <w:pPr>
              <w:spacing w:before="0" w:after="0" w:line="240" w:lineRule="auto"/>
              <w:jc w:val="left"/>
            </w:pPr>
            <w:r>
              <w:rPr>
                <w:rFonts w:ascii="Times New Roman" w:hAnsi="Times New Roman" w:eastAsia="Times New Roman"/>
                <w:color w:val="000000"/>
                <w:sz w:val="17"/>
              </w:rPr>
              <w:t>Prakrit-to-English translation</w:t>
            </w:r>
          </w:p>
        </w:tc>
        <w:tc>
          <w:tcPr>
            <w:tcW w:type="dxa" w:w="3500"/>
          </w:tcPr>
          <w:p>
            <w:pPr>
              <w:spacing w:before="0" w:after="0" w:line="240" w:lineRule="auto"/>
              <w:jc w:val="left"/>
            </w:pPr>
            <w:r>
              <w:rPr>
                <w:rFonts w:ascii="Times New Roman" w:hAnsi="Times New Roman" w:eastAsia="Times New Roman"/>
                <w:color w:val="000000"/>
                <w:sz w:val="17"/>
              </w:rPr>
              <w:t>BLEU 47.08 on the project split</w:t>
            </w:r>
          </w:p>
        </w:tc>
        <w:tc>
          <w:tcPr>
            <w:tcW w:type="dxa" w:w="1900"/>
          </w:tcPr>
          <w:p>
            <w:pPr>
              <w:spacing w:before="0" w:after="0" w:line="240" w:lineRule="auto"/>
              <w:jc w:val="left"/>
            </w:pPr>
            <w:r>
              <w:rPr>
                <w:rFonts w:ascii="Times New Roman" w:hAnsi="Times New Roman" w:eastAsia="Times New Roman"/>
                <w:color w:val="000000"/>
                <w:sz w:val="17"/>
              </w:rPr>
              <w:t>Achieved with audit caveat</w:t>
            </w:r>
          </w:p>
        </w:tc>
      </w:tr>
      <w:tr>
        <w:tc>
          <w:tcPr>
            <w:tcW w:type="dxa" w:w="2700"/>
          </w:tcPr>
          <w:p>
            <w:pPr>
              <w:spacing w:before="0" w:after="0" w:line="240" w:lineRule="auto"/>
              <w:jc w:val="left"/>
            </w:pPr>
            <w:r>
              <w:rPr>
                <w:rFonts w:ascii="Times New Roman" w:hAnsi="Times New Roman" w:eastAsia="Times New Roman"/>
                <w:color w:val="000000"/>
                <w:sz w:val="17"/>
              </w:rPr>
              <w:t>English-to-Prakrit translation</w:t>
            </w:r>
          </w:p>
        </w:tc>
        <w:tc>
          <w:tcPr>
            <w:tcW w:type="dxa" w:w="3500"/>
          </w:tcPr>
          <w:p>
            <w:pPr>
              <w:spacing w:before="0" w:after="0" w:line="240" w:lineRule="auto"/>
              <w:jc w:val="left"/>
            </w:pPr>
            <w:r>
              <w:rPr>
                <w:rFonts w:ascii="Times New Roman" w:hAnsi="Times New Roman" w:eastAsia="Times New Roman"/>
                <w:color w:val="000000"/>
                <w:sz w:val="17"/>
              </w:rPr>
              <w:t>Best BLEU 14.38</w:t>
            </w:r>
          </w:p>
        </w:tc>
        <w:tc>
          <w:tcPr>
            <w:tcW w:type="dxa" w:w="1900"/>
          </w:tcPr>
          <w:p>
            <w:pPr>
              <w:spacing w:before="0" w:after="0" w:line="240" w:lineRule="auto"/>
              <w:jc w:val="left"/>
            </w:pPr>
            <w:r>
              <w:rPr>
                <w:rFonts w:ascii="Times New Roman" w:hAnsi="Times New Roman" w:eastAsia="Times New Roman"/>
                <w:color w:val="000000"/>
                <w:sz w:val="17"/>
              </w:rPr>
              <w:t>Achieved</w:t>
            </w:r>
          </w:p>
        </w:tc>
      </w:tr>
      <w:tr>
        <w:tc>
          <w:tcPr>
            <w:tcW w:type="dxa" w:w="2700"/>
          </w:tcPr>
          <w:p>
            <w:pPr>
              <w:spacing w:before="0" w:after="0" w:line="240" w:lineRule="auto"/>
              <w:jc w:val="left"/>
            </w:pPr>
            <w:r>
              <w:rPr>
                <w:rFonts w:ascii="Times New Roman" w:hAnsi="Times New Roman" w:eastAsia="Times New Roman"/>
                <w:color w:val="000000"/>
                <w:sz w:val="17"/>
              </w:rPr>
              <w:t>Directional transfer</w:t>
            </w:r>
          </w:p>
        </w:tc>
        <w:tc>
          <w:tcPr>
            <w:tcW w:type="dxa" w:w="3500"/>
          </w:tcPr>
          <w:p>
            <w:pPr>
              <w:spacing w:before="0" w:after="0" w:line="240" w:lineRule="auto"/>
              <w:jc w:val="left"/>
            </w:pPr>
            <w:r>
              <w:rPr>
                <w:rFonts w:ascii="Times New Roman" w:hAnsi="Times New Roman" w:eastAsia="Times New Roman"/>
                <w:color w:val="000000"/>
                <w:sz w:val="17"/>
              </w:rPr>
              <w:t>Starting E2P loss reduced from 16.18 to 3.44</w:t>
            </w:r>
          </w:p>
        </w:tc>
        <w:tc>
          <w:tcPr>
            <w:tcW w:type="dxa" w:w="1900"/>
          </w:tcPr>
          <w:p>
            <w:pPr>
              <w:spacing w:before="0" w:after="0" w:line="240" w:lineRule="auto"/>
              <w:jc w:val="left"/>
            </w:pPr>
            <w:r>
              <w:rPr>
                <w:rFonts w:ascii="Times New Roman" w:hAnsi="Times New Roman" w:eastAsia="Times New Roman"/>
                <w:color w:val="000000"/>
                <w:sz w:val="17"/>
              </w:rPr>
              <w:t>Achieved</w:t>
            </w:r>
          </w:p>
        </w:tc>
      </w:tr>
      <w:tr>
        <w:tc>
          <w:tcPr>
            <w:tcW w:type="dxa" w:w="2700"/>
          </w:tcPr>
          <w:p>
            <w:pPr>
              <w:spacing w:before="0" w:after="0" w:line="240" w:lineRule="auto"/>
              <w:jc w:val="left"/>
            </w:pPr>
            <w:r>
              <w:rPr>
                <w:rFonts w:ascii="Times New Roman" w:hAnsi="Times New Roman" w:eastAsia="Times New Roman"/>
                <w:color w:val="000000"/>
                <w:sz w:val="17"/>
              </w:rPr>
              <w:t>Synthetic resource</w:t>
            </w:r>
          </w:p>
        </w:tc>
        <w:tc>
          <w:tcPr>
            <w:tcW w:type="dxa" w:w="3500"/>
          </w:tcPr>
          <w:p>
            <w:pPr>
              <w:spacing w:before="0" w:after="0" w:line="240" w:lineRule="auto"/>
              <w:jc w:val="left"/>
            </w:pPr>
            <w:r>
              <w:rPr>
                <w:rFonts w:ascii="Times New Roman" w:hAnsi="Times New Roman" w:eastAsia="Times New Roman"/>
                <w:color w:val="000000"/>
                <w:sz w:val="17"/>
              </w:rPr>
              <w:t>1,513,093 accepted records; 79.7% acceptance</w:t>
            </w:r>
          </w:p>
        </w:tc>
        <w:tc>
          <w:tcPr>
            <w:tcW w:type="dxa" w:w="1900"/>
          </w:tcPr>
          <w:p>
            <w:pPr>
              <w:spacing w:before="0" w:after="0" w:line="240" w:lineRule="auto"/>
              <w:jc w:val="left"/>
            </w:pPr>
            <w:r>
              <w:rPr>
                <w:rFonts w:ascii="Times New Roman" w:hAnsi="Times New Roman" w:eastAsia="Times New Roman"/>
                <w:color w:val="000000"/>
                <w:sz w:val="17"/>
              </w:rPr>
              <w:t>Achieved</w:t>
            </w:r>
          </w:p>
        </w:tc>
      </w:tr>
      <w:tr>
        <w:tc>
          <w:tcPr>
            <w:tcW w:type="dxa" w:w="2700"/>
          </w:tcPr>
          <w:p>
            <w:pPr>
              <w:spacing w:before="0" w:after="0" w:line="240" w:lineRule="auto"/>
              <w:jc w:val="left"/>
            </w:pPr>
            <w:r>
              <w:rPr>
                <w:rFonts w:ascii="Times New Roman" w:hAnsi="Times New Roman" w:eastAsia="Times New Roman"/>
                <w:color w:val="000000"/>
                <w:sz w:val="17"/>
              </w:rPr>
              <w:t>Lexical exact match</w:t>
            </w:r>
          </w:p>
        </w:tc>
        <w:tc>
          <w:tcPr>
            <w:tcW w:type="dxa" w:w="3500"/>
          </w:tcPr>
          <w:p>
            <w:pPr>
              <w:spacing w:before="0" w:after="0" w:line="240" w:lineRule="auto"/>
              <w:jc w:val="left"/>
            </w:pPr>
            <w:r>
              <w:rPr>
                <w:rFonts w:ascii="Times New Roman" w:hAnsi="Times New Roman" w:eastAsia="Times New Roman"/>
                <w:color w:val="000000"/>
                <w:sz w:val="17"/>
              </w:rPr>
              <w:t>5.8%</w:t>
            </w:r>
          </w:p>
        </w:tc>
        <w:tc>
          <w:tcPr>
            <w:tcW w:type="dxa" w:w="1900"/>
          </w:tcPr>
          <w:p>
            <w:pPr>
              <w:spacing w:before="0" w:after="0" w:line="240" w:lineRule="auto"/>
              <w:jc w:val="left"/>
            </w:pPr>
            <w:r>
              <w:rPr>
                <w:rFonts w:ascii="Times New Roman" w:hAnsi="Times New Roman" w:eastAsia="Times New Roman"/>
                <w:color w:val="000000"/>
                <w:sz w:val="17"/>
              </w:rPr>
              <w:t>Exploratory</w:t>
            </w:r>
          </w:p>
        </w:tc>
      </w:tr>
      <w:tr>
        <w:tc>
          <w:tcPr>
            <w:tcW w:type="dxa" w:w="2700"/>
          </w:tcPr>
          <w:p>
            <w:pPr>
              <w:spacing w:before="0" w:after="0" w:line="240" w:lineRule="auto"/>
              <w:jc w:val="left"/>
            </w:pPr>
            <w:r>
              <w:rPr>
                <w:rFonts w:ascii="Times New Roman" w:hAnsi="Times New Roman" w:eastAsia="Times New Roman"/>
                <w:color w:val="000000"/>
                <w:sz w:val="17"/>
              </w:rPr>
              <w:t>Lexical LCS similarity</w:t>
            </w:r>
          </w:p>
        </w:tc>
        <w:tc>
          <w:tcPr>
            <w:tcW w:type="dxa" w:w="3500"/>
          </w:tcPr>
          <w:p>
            <w:pPr>
              <w:spacing w:before="0" w:after="0" w:line="240" w:lineRule="auto"/>
              <w:jc w:val="left"/>
            </w:pPr>
            <w:r>
              <w:rPr>
                <w:rFonts w:ascii="Times New Roman" w:hAnsi="Times New Roman" w:eastAsia="Times New Roman"/>
                <w:color w:val="000000"/>
                <w:sz w:val="17"/>
              </w:rPr>
              <w:t>51.1%</w:t>
            </w:r>
          </w:p>
        </w:tc>
        <w:tc>
          <w:tcPr>
            <w:tcW w:type="dxa" w:w="1900"/>
          </w:tcPr>
          <w:p>
            <w:pPr>
              <w:spacing w:before="0" w:after="0" w:line="240" w:lineRule="auto"/>
              <w:jc w:val="left"/>
            </w:pPr>
            <w:r>
              <w:rPr>
                <w:rFonts w:ascii="Times New Roman" w:hAnsi="Times New Roman" w:eastAsia="Times New Roman"/>
                <w:color w:val="000000"/>
                <w:sz w:val="17"/>
              </w:rPr>
              <w:t>Exploratory</w:t>
            </w:r>
          </w:p>
        </w:tc>
      </w:tr>
      <w:tr>
        <w:tc>
          <w:tcPr>
            <w:tcW w:type="dxa" w:w="2700"/>
          </w:tcPr>
          <w:p>
            <w:pPr>
              <w:spacing w:before="0" w:after="0" w:line="240" w:lineRule="auto"/>
              <w:jc w:val="left"/>
            </w:pPr>
            <w:r>
              <w:rPr>
                <w:rFonts w:ascii="Times New Roman" w:hAnsi="Times New Roman" w:eastAsia="Times New Roman"/>
                <w:color w:val="000000"/>
                <w:sz w:val="17"/>
              </w:rPr>
              <w:t>Lexical 3-character-prefix match</w:t>
            </w:r>
          </w:p>
        </w:tc>
        <w:tc>
          <w:tcPr>
            <w:tcW w:type="dxa" w:w="3500"/>
          </w:tcPr>
          <w:p>
            <w:pPr>
              <w:spacing w:before="0" w:after="0" w:line="240" w:lineRule="auto"/>
              <w:jc w:val="left"/>
            </w:pPr>
            <w:r>
              <w:rPr>
                <w:rFonts w:ascii="Times New Roman" w:hAnsi="Times New Roman" w:eastAsia="Times New Roman"/>
                <w:color w:val="000000"/>
                <w:sz w:val="17"/>
              </w:rPr>
              <w:t>22.1%</w:t>
            </w:r>
          </w:p>
        </w:tc>
        <w:tc>
          <w:tcPr>
            <w:tcW w:type="dxa" w:w="1900"/>
          </w:tcPr>
          <w:p>
            <w:pPr>
              <w:spacing w:before="0" w:after="0" w:line="240" w:lineRule="auto"/>
              <w:jc w:val="left"/>
            </w:pPr>
            <w:r>
              <w:rPr>
                <w:rFonts w:ascii="Times New Roman" w:hAnsi="Times New Roman" w:eastAsia="Times New Roman"/>
                <w:color w:val="000000"/>
                <w:sz w:val="17"/>
              </w:rPr>
              <w:t>Exploratory</w:t>
            </w:r>
          </w:p>
        </w:tc>
      </w:tr>
    </w:tbl>
    <w:p>
      <w:pPr>
        <w:spacing w:after="40"/>
      </w:pPr>
    </w:p>
    <w:p>
      <w:pPr>
        <w:keepNext/>
        <w:spacing w:before="120" w:after="60"/>
        <w:jc w:val="center"/>
      </w:pPr>
      <w:r>
        <w:rPr>
          <w:rFonts w:ascii="Times New Roman" w:hAnsi="Times New Roman" w:eastAsia="Times New Roman"/>
          <w:color w:val="000000"/>
          <w:sz w:val="24"/>
        </w:rPr>
        <w:drawing>
          <wp:inline xmlns:a="http://schemas.openxmlformats.org/drawingml/2006/main" xmlns:pic="http://schemas.openxmlformats.org/drawingml/2006/picture">
            <wp:extent cx="5074920" cy="2642878"/>
            <wp:docPr id="9" name="Picture 9" descr="Bar chart of Prakrit-English BLEU, English-Prakrit BLEU, and three lexical evaluation measures" title="Bar chart of Prakrit-English BLEU, English-Prakrit BLEU, and three lexical evaluation measures"/>
            <wp:cNvGraphicFramePr>
              <a:graphicFrameLocks noChangeAspect="1"/>
            </wp:cNvGraphicFramePr>
            <a:graphic>
              <a:graphicData uri="http://schemas.openxmlformats.org/drawingml/2006/picture">
                <pic:pic>
                  <pic:nvPicPr>
                    <pic:cNvPr id="0" name="evaluation-results.png"/>
                    <pic:cNvPicPr/>
                  </pic:nvPicPr>
                  <pic:blipFill>
                    <a:blip r:embed="rId23"/>
                    <a:stretch>
                      <a:fillRect/>
                    </a:stretch>
                  </pic:blipFill>
                  <pic:spPr>
                    <a:xfrm>
                      <a:off x="0" y="0"/>
                      <a:ext cx="5074920" cy="2642878"/>
                    </a:xfrm>
                    <a:prstGeom prst="rect"/>
                  </pic:spPr>
                </pic:pic>
              </a:graphicData>
            </a:graphic>
          </wp:inline>
        </w:drawing>
      </w:r>
    </w:p>
    <w:p>
      <w:pPr>
        <w:keepLines/>
        <w:spacing w:before="0" w:after="160"/>
        <w:jc w:val="center"/>
      </w:pPr>
      <w:r>
        <w:rPr>
          <w:rFonts w:ascii="Times New Roman" w:hAnsi="Times New Roman" w:eastAsia="Times New Roman"/>
          <w:i/>
          <w:color w:val="000000"/>
          <w:sz w:val="22"/>
        </w:rPr>
        <w:t>Figure 4.4: Automatic evaluation results</w:t>
      </w: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4.9.3 Interpretation</w:t>
      </w:r>
    </w:p>
    <w:p>
      <w:pPr>
        <w:keepNext w:val="0"/>
        <w:spacing w:line="360" w:lineRule="auto" w:before="0" w:after="120"/>
        <w:ind w:firstLine="432"/>
        <w:jc w:val="both"/>
      </w:pPr>
      <w:r>
        <w:rPr>
          <w:rFonts w:ascii="Times New Roman" w:hAnsi="Times New Roman" w:eastAsia="Times New Roman"/>
          <w:color w:val="000000"/>
          <w:sz w:val="24"/>
        </w:rPr>
        <w:t>The results show that multilingual transfer can produce a functional Prakrit translation prototype from a very small supervised corpus. Directional initialization was especially useful for English-to-Prakrit optimization. The lower E2P BLEU is consistent with the difficulty of generating a morphologically and orthographically variable low-resource language.</w:t>
      </w:r>
    </w:p>
    <w:p>
      <w:pPr>
        <w:keepNext w:val="0"/>
        <w:spacing w:line="360" w:lineRule="auto" w:before="0" w:after="120"/>
        <w:ind w:firstLine="432"/>
        <w:jc w:val="both"/>
      </w:pPr>
      <w:r>
        <w:rPr>
          <w:rFonts w:ascii="Times New Roman" w:hAnsi="Times New Roman" w:eastAsia="Times New Roman"/>
          <w:color w:val="000000"/>
          <w:sz w:val="24"/>
        </w:rPr>
        <w:t>The 47.08 P2E BLEU result must be interpreted together with the near-duplicate audit and the absence of an independent test set. It represents strong performance on the current project split, not evidence of general translation quality across all Prakrit varieties. The lexical gap between 5.8% exact match and 51.1% LCS similarity further shows why one automatic score is insufficient.</w:t>
      </w: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4.9.4 Limitations</w:t>
      </w:r>
    </w:p>
    <w:p>
      <w:pPr>
        <w:keepNext/>
        <w:spacing w:before="140" w:after="80"/>
        <w:jc w:val="left"/>
      </w:pPr>
      <w:r>
        <w:rPr>
          <w:rFonts w:ascii="Times New Roman" w:hAnsi="Times New Roman" w:eastAsia="Times New Roman"/>
          <w:b/>
          <w:color w:val="000000"/>
          <w:sz w:val="23"/>
        </w:rPr>
        <w:t>Table 4.10: Limitations, implications, and next actions</w:t>
      </w:r>
    </w:p>
    <w:tbl>
      <w:tblPr>
        <w:tblW w:type="dxa" w:w="8100"/>
        <w:jc w:val="left"/>
        <w:tblLayout w:type="fixed"/>
        <w:tblLook w:firstColumn="1" w:firstRow="1" w:lastColumn="0" w:lastRow="0" w:noHBand="0" w:noVBand="1" w:val="04A0"/>
        <w:tblInd w:w="120" w:type="dxa"/>
        <w:tblBorders>
          <w:top w:val="single" w:sz="6" w:space="0" w:color="7A7F87"/>
          <w:left w:val="single" w:sz="6" w:space="0" w:color="7A7F87"/>
          <w:bottom w:val="single" w:sz="6" w:space="0" w:color="7A7F87"/>
          <w:right w:val="single" w:sz="6" w:space="0" w:color="7A7F87"/>
          <w:insideH w:val="single" w:sz="6" w:space="0" w:color="7A7F87"/>
          <w:insideV w:val="single" w:sz="6" w:space="0" w:color="7A7F87"/>
        </w:tblBorders>
      </w:tblPr>
      <w:tblGrid>
        <w:gridCol w:w="2600"/>
        <w:gridCol w:w="2700"/>
        <w:gridCol w:w="2800"/>
      </w:tblGrid>
      <w:tr>
        <w:trPr>
          <w:cantSplit/>
          <w:tblHeader w:val="true"/>
        </w:trPr>
        <w:tc>
          <w:tcPr>
            <w:tcW w:type="dxa" w:w="26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7"/>
              </w:rPr>
              <w:t>Limitation</w:t>
            </w:r>
          </w:p>
        </w:tc>
        <w:tc>
          <w:tcPr>
            <w:tcW w:type="dxa" w:w="27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7"/>
              </w:rPr>
              <w:t>Implication</w:t>
            </w:r>
          </w:p>
        </w:tc>
        <w:tc>
          <w:tcPr>
            <w:tcW w:type="dxa" w:w="2800"/>
            <w:vAlign w:val="center"/>
            <w:tcMar>
              <w:top w:w="80" w:type="dxa"/>
              <w:start w:w="90" w:type="dxa"/>
              <w:bottom w:w="80" w:type="dxa"/>
              <w:end w:w="90" w:type="dxa"/>
            </w:tcMar>
            <w:shd w:fill="E5E7EB"/>
          </w:tcPr>
          <w:p>
            <w:pPr>
              <w:spacing w:before="0" w:after="0" w:line="240" w:lineRule="auto"/>
              <w:jc w:val="center"/>
            </w:pPr>
            <w:r>
              <w:rPr>
                <w:rFonts w:ascii="Times New Roman" w:hAnsi="Times New Roman" w:eastAsia="Times New Roman"/>
                <w:b/>
                <w:color w:val="000000"/>
                <w:sz w:val="17"/>
              </w:rPr>
              <w:t>Recommended Next Action</w:t>
            </w:r>
          </w:p>
        </w:tc>
      </w:tr>
      <w:tr>
        <w:tc>
          <w:tcPr>
            <w:tcW w:type="dxa" w:w="2600"/>
          </w:tcPr>
          <w:p>
            <w:pPr>
              <w:spacing w:before="0" w:after="0" w:line="240" w:lineRule="auto"/>
              <w:jc w:val="left"/>
            </w:pPr>
            <w:r>
              <w:rPr>
                <w:rFonts w:ascii="Times New Roman" w:hAnsi="Times New Roman" w:eastAsia="Times New Roman"/>
                <w:color w:val="000000"/>
                <w:sz w:val="17"/>
              </w:rPr>
              <w:t>Only 1,696 supervised pairs</w:t>
            </w:r>
          </w:p>
        </w:tc>
        <w:tc>
          <w:tcPr>
            <w:tcW w:type="dxa" w:w="2700"/>
          </w:tcPr>
          <w:p>
            <w:pPr>
              <w:spacing w:before="0" w:after="0" w:line="240" w:lineRule="auto"/>
              <w:jc w:val="left"/>
            </w:pPr>
            <w:r>
              <w:rPr>
                <w:rFonts w:ascii="Times New Roman" w:hAnsi="Times New Roman" w:eastAsia="Times New Roman"/>
                <w:color w:val="000000"/>
                <w:sz w:val="17"/>
              </w:rPr>
              <w:t>High variance and limited coverage</w:t>
            </w:r>
          </w:p>
        </w:tc>
        <w:tc>
          <w:tcPr>
            <w:tcW w:type="dxa" w:w="2800"/>
          </w:tcPr>
          <w:p>
            <w:pPr>
              <w:spacing w:before="0" w:after="0" w:line="240" w:lineRule="auto"/>
              <w:jc w:val="left"/>
            </w:pPr>
            <w:r>
              <w:rPr>
                <w:rFonts w:ascii="Times New Roman" w:hAnsi="Times New Roman" w:eastAsia="Times New Roman"/>
                <w:color w:val="000000"/>
                <w:sz w:val="17"/>
              </w:rPr>
              <w:t>Expand with expert-curated parallel data</w:t>
            </w:r>
          </w:p>
        </w:tc>
      </w:tr>
      <w:tr>
        <w:tc>
          <w:tcPr>
            <w:tcW w:type="dxa" w:w="2600"/>
          </w:tcPr>
          <w:p>
            <w:pPr>
              <w:spacing w:before="0" w:after="0" w:line="240" w:lineRule="auto"/>
              <w:jc w:val="left"/>
            </w:pPr>
            <w:r>
              <w:rPr>
                <w:rFonts w:ascii="Times New Roman" w:hAnsi="Times New Roman" w:eastAsia="Times New Roman"/>
                <w:color w:val="000000"/>
                <w:sz w:val="17"/>
              </w:rPr>
              <w:t>Near duplicates in evaluation</w:t>
            </w:r>
          </w:p>
        </w:tc>
        <w:tc>
          <w:tcPr>
            <w:tcW w:type="dxa" w:w="2700"/>
          </w:tcPr>
          <w:p>
            <w:pPr>
              <w:spacing w:before="0" w:after="0" w:line="240" w:lineRule="auto"/>
              <w:jc w:val="left"/>
            </w:pPr>
            <w:r>
              <w:rPr>
                <w:rFonts w:ascii="Times New Roman" w:hAnsi="Times New Roman" w:eastAsia="Times New Roman"/>
                <w:color w:val="000000"/>
                <w:sz w:val="17"/>
              </w:rPr>
              <w:t>Possible score inflation</w:t>
            </w:r>
          </w:p>
        </w:tc>
        <w:tc>
          <w:tcPr>
            <w:tcW w:type="dxa" w:w="2800"/>
          </w:tcPr>
          <w:p>
            <w:pPr>
              <w:spacing w:before="0" w:after="0" w:line="240" w:lineRule="auto"/>
              <w:jc w:val="left"/>
            </w:pPr>
            <w:r>
              <w:rPr>
                <w:rFonts w:ascii="Times New Roman" w:hAnsi="Times New Roman" w:eastAsia="Times New Roman"/>
                <w:color w:val="000000"/>
                <w:sz w:val="17"/>
              </w:rPr>
              <w:t>Create a strict deduplicated test set</w:t>
            </w:r>
          </w:p>
        </w:tc>
      </w:tr>
      <w:tr>
        <w:tc>
          <w:tcPr>
            <w:tcW w:type="dxa" w:w="2600"/>
          </w:tcPr>
          <w:p>
            <w:pPr>
              <w:spacing w:before="0" w:after="0" w:line="240" w:lineRule="auto"/>
              <w:jc w:val="left"/>
            </w:pPr>
            <w:r>
              <w:rPr>
                <w:rFonts w:ascii="Times New Roman" w:hAnsi="Times New Roman" w:eastAsia="Times New Roman"/>
                <w:color w:val="000000"/>
                <w:sz w:val="17"/>
              </w:rPr>
              <w:t>No independent final test set</w:t>
            </w:r>
          </w:p>
        </w:tc>
        <w:tc>
          <w:tcPr>
            <w:tcW w:type="dxa" w:w="2700"/>
          </w:tcPr>
          <w:p>
            <w:pPr>
              <w:spacing w:before="0" w:after="0" w:line="240" w:lineRule="auto"/>
              <w:jc w:val="left"/>
            </w:pPr>
            <w:r>
              <w:rPr>
                <w:rFonts w:ascii="Times New Roman" w:hAnsi="Times New Roman" w:eastAsia="Times New Roman"/>
                <w:color w:val="000000"/>
                <w:sz w:val="17"/>
              </w:rPr>
              <w:t>Checkpoint selection and reporting are coupled</w:t>
            </w:r>
          </w:p>
        </w:tc>
        <w:tc>
          <w:tcPr>
            <w:tcW w:type="dxa" w:w="2800"/>
          </w:tcPr>
          <w:p>
            <w:pPr>
              <w:spacing w:before="0" w:after="0" w:line="240" w:lineRule="auto"/>
              <w:jc w:val="left"/>
            </w:pPr>
            <w:r>
              <w:rPr>
                <w:rFonts w:ascii="Times New Roman" w:hAnsi="Times New Roman" w:eastAsia="Times New Roman"/>
                <w:color w:val="000000"/>
                <w:sz w:val="17"/>
              </w:rPr>
              <w:t>Reserve a sealed expert-reviewed test set</w:t>
            </w:r>
          </w:p>
        </w:tc>
      </w:tr>
      <w:tr>
        <w:tc>
          <w:tcPr>
            <w:tcW w:type="dxa" w:w="2600"/>
          </w:tcPr>
          <w:p>
            <w:pPr>
              <w:spacing w:before="0" w:after="0" w:line="240" w:lineRule="auto"/>
              <w:jc w:val="left"/>
            </w:pPr>
            <w:r>
              <w:rPr>
                <w:rFonts w:ascii="Times New Roman" w:hAnsi="Times New Roman" w:eastAsia="Times New Roman"/>
                <w:color w:val="000000"/>
                <w:sz w:val="17"/>
              </w:rPr>
              <w:t>No fixed training-loop seed</w:t>
            </w:r>
          </w:p>
        </w:tc>
        <w:tc>
          <w:tcPr>
            <w:tcW w:type="dxa" w:w="2700"/>
          </w:tcPr>
          <w:p>
            <w:pPr>
              <w:spacing w:before="0" w:after="0" w:line="240" w:lineRule="auto"/>
              <w:jc w:val="left"/>
            </w:pPr>
            <w:r>
              <w:rPr>
                <w:rFonts w:ascii="Times New Roman" w:hAnsi="Times New Roman" w:eastAsia="Times New Roman"/>
                <w:color w:val="000000"/>
                <w:sz w:val="17"/>
              </w:rPr>
              <w:t>Exact reruns may differ</w:t>
            </w:r>
          </w:p>
        </w:tc>
        <w:tc>
          <w:tcPr>
            <w:tcW w:type="dxa" w:w="2800"/>
          </w:tcPr>
          <w:p>
            <w:pPr>
              <w:spacing w:before="0" w:after="0" w:line="240" w:lineRule="auto"/>
              <w:jc w:val="left"/>
            </w:pPr>
            <w:r>
              <w:rPr>
                <w:rFonts w:ascii="Times New Roman" w:hAnsi="Times New Roman" w:eastAsia="Times New Roman"/>
                <w:color w:val="000000"/>
                <w:sz w:val="17"/>
              </w:rPr>
              <w:t>Fix seeds and report multiple trials</w:t>
            </w:r>
          </w:p>
        </w:tc>
      </w:tr>
      <w:tr>
        <w:tc>
          <w:tcPr>
            <w:tcW w:type="dxa" w:w="2600"/>
          </w:tcPr>
          <w:p>
            <w:pPr>
              <w:spacing w:before="0" w:after="0" w:line="240" w:lineRule="auto"/>
              <w:jc w:val="left"/>
            </w:pPr>
            <w:r>
              <w:rPr>
                <w:rFonts w:ascii="Times New Roman" w:hAnsi="Times New Roman" w:eastAsia="Times New Roman"/>
                <w:color w:val="000000"/>
                <w:sz w:val="17"/>
              </w:rPr>
              <w:t>Synthetic stability is not truth</w:t>
            </w:r>
          </w:p>
        </w:tc>
        <w:tc>
          <w:tcPr>
            <w:tcW w:type="dxa" w:w="2700"/>
          </w:tcPr>
          <w:p>
            <w:pPr>
              <w:spacing w:before="0" w:after="0" w:line="240" w:lineRule="auto"/>
              <w:jc w:val="left"/>
            </w:pPr>
            <w:r>
              <w:rPr>
                <w:rFonts w:ascii="Times New Roman" w:hAnsi="Times New Roman" w:eastAsia="Times New Roman"/>
                <w:color w:val="000000"/>
                <w:sz w:val="17"/>
              </w:rPr>
              <w:t>Consistent candidates can still be wrong</w:t>
            </w:r>
          </w:p>
        </w:tc>
        <w:tc>
          <w:tcPr>
            <w:tcW w:type="dxa" w:w="2800"/>
          </w:tcPr>
          <w:p>
            <w:pPr>
              <w:spacing w:before="0" w:after="0" w:line="240" w:lineRule="auto"/>
              <w:jc w:val="left"/>
            </w:pPr>
            <w:r>
              <w:rPr>
                <w:rFonts w:ascii="Times New Roman" w:hAnsi="Times New Roman" w:eastAsia="Times New Roman"/>
                <w:color w:val="000000"/>
                <w:sz w:val="17"/>
              </w:rPr>
              <w:t>Add confidence weighting and human sampling</w:t>
            </w:r>
          </w:p>
        </w:tc>
      </w:tr>
      <w:tr>
        <w:tc>
          <w:tcPr>
            <w:tcW w:type="dxa" w:w="2600"/>
          </w:tcPr>
          <w:p>
            <w:pPr>
              <w:spacing w:before="0" w:after="0" w:line="240" w:lineRule="auto"/>
              <w:jc w:val="left"/>
            </w:pPr>
            <w:r>
              <w:rPr>
                <w:rFonts w:ascii="Times New Roman" w:hAnsi="Times New Roman" w:eastAsia="Times New Roman"/>
                <w:color w:val="000000"/>
                <w:sz w:val="17"/>
              </w:rPr>
              <w:t>Dialect and orthography variation</w:t>
            </w:r>
          </w:p>
        </w:tc>
        <w:tc>
          <w:tcPr>
            <w:tcW w:type="dxa" w:w="2700"/>
          </w:tcPr>
          <w:p>
            <w:pPr>
              <w:spacing w:before="0" w:after="0" w:line="240" w:lineRule="auto"/>
              <w:jc w:val="left"/>
            </w:pPr>
            <w:r>
              <w:rPr>
                <w:rFonts w:ascii="Times New Roman" w:hAnsi="Times New Roman" w:eastAsia="Times New Roman"/>
                <w:color w:val="000000"/>
                <w:sz w:val="17"/>
              </w:rPr>
              <w:t>Valid outputs may be penalized</w:t>
            </w:r>
          </w:p>
        </w:tc>
        <w:tc>
          <w:tcPr>
            <w:tcW w:type="dxa" w:w="2800"/>
          </w:tcPr>
          <w:p>
            <w:pPr>
              <w:spacing w:before="0" w:after="0" w:line="240" w:lineRule="auto"/>
              <w:jc w:val="left"/>
            </w:pPr>
            <w:r>
              <w:rPr>
                <w:rFonts w:ascii="Times New Roman" w:hAnsi="Times New Roman" w:eastAsia="Times New Roman"/>
                <w:color w:val="000000"/>
                <w:sz w:val="17"/>
              </w:rPr>
              <w:t>Add dialect metadata and human evaluation</w:t>
            </w:r>
          </w:p>
        </w:tc>
      </w:tr>
      <w:tr>
        <w:tc>
          <w:tcPr>
            <w:tcW w:type="dxa" w:w="2600"/>
          </w:tcPr>
          <w:p>
            <w:pPr>
              <w:spacing w:before="0" w:after="0" w:line="240" w:lineRule="auto"/>
              <w:jc w:val="left"/>
            </w:pPr>
            <w:r>
              <w:rPr>
                <w:rFonts w:ascii="Times New Roman" w:hAnsi="Times New Roman" w:eastAsia="Times New Roman"/>
                <w:color w:val="000000"/>
                <w:sz w:val="17"/>
              </w:rPr>
              <w:t>Eight lexical lemmas cross splits</w:t>
            </w:r>
          </w:p>
        </w:tc>
        <w:tc>
          <w:tcPr>
            <w:tcW w:type="dxa" w:w="2700"/>
          </w:tcPr>
          <w:p>
            <w:pPr>
              <w:spacing w:before="0" w:after="0" w:line="240" w:lineRule="auto"/>
              <w:jc w:val="left"/>
            </w:pPr>
            <w:r>
              <w:rPr>
                <w:rFonts w:ascii="Times New Roman" w:hAnsi="Times New Roman" w:eastAsia="Times New Roman"/>
                <w:color w:val="000000"/>
                <w:sz w:val="17"/>
              </w:rPr>
              <w:t>Auxiliary leakage risk</w:t>
            </w:r>
          </w:p>
        </w:tc>
        <w:tc>
          <w:tcPr>
            <w:tcW w:type="dxa" w:w="2800"/>
          </w:tcPr>
          <w:p>
            <w:pPr>
              <w:spacing w:before="0" w:after="0" w:line="240" w:lineRule="auto"/>
              <w:jc w:val="left"/>
            </w:pPr>
            <w:r>
              <w:rPr>
                <w:rFonts w:ascii="Times New Roman" w:hAnsi="Times New Roman" w:eastAsia="Times New Roman"/>
                <w:color w:val="000000"/>
                <w:sz w:val="17"/>
              </w:rPr>
              <w:t>Split by normalized lemma family</w:t>
            </w:r>
          </w:p>
        </w:tc>
      </w:tr>
      <w:tr>
        <w:tc>
          <w:tcPr>
            <w:tcW w:type="dxa" w:w="2600"/>
          </w:tcPr>
          <w:p>
            <w:pPr>
              <w:spacing w:before="0" w:after="0" w:line="240" w:lineRule="auto"/>
              <w:jc w:val="left"/>
            </w:pPr>
            <w:r>
              <w:rPr>
                <w:rFonts w:ascii="Times New Roman" w:hAnsi="Times New Roman" w:eastAsia="Times New Roman"/>
                <w:color w:val="000000"/>
                <w:sz w:val="17"/>
              </w:rPr>
              <w:t>Unequal exploratory budgets</w:t>
            </w:r>
          </w:p>
        </w:tc>
        <w:tc>
          <w:tcPr>
            <w:tcW w:type="dxa" w:w="2700"/>
          </w:tcPr>
          <w:p>
            <w:pPr>
              <w:spacing w:before="0" w:after="0" w:line="240" w:lineRule="auto"/>
              <w:jc w:val="left"/>
            </w:pPr>
            <w:r>
              <w:rPr>
                <w:rFonts w:ascii="Times New Roman" w:hAnsi="Times New Roman" w:eastAsia="Times New Roman"/>
                <w:color w:val="000000"/>
                <w:sz w:val="17"/>
              </w:rPr>
              <w:t>No strict backbone ranking</w:t>
            </w:r>
          </w:p>
        </w:tc>
        <w:tc>
          <w:tcPr>
            <w:tcW w:type="dxa" w:w="2800"/>
          </w:tcPr>
          <w:p>
            <w:pPr>
              <w:spacing w:before="0" w:after="0" w:line="240" w:lineRule="auto"/>
              <w:jc w:val="left"/>
            </w:pPr>
            <w:r>
              <w:rPr>
                <w:rFonts w:ascii="Times New Roman" w:hAnsi="Times New Roman" w:eastAsia="Times New Roman"/>
                <w:color w:val="000000"/>
                <w:sz w:val="17"/>
              </w:rPr>
              <w:t>Run matched compute and data controls</w:t>
            </w:r>
          </w:p>
        </w:tc>
      </w:tr>
    </w:tbl>
    <w:p>
      <w:pPr>
        <w:spacing w:after="40"/>
      </w:pP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4.9.5 Learning Outcomes</w:t>
      </w:r>
    </w:p>
    <w:p>
      <w:pPr>
        <w:spacing w:line="360" w:lineRule="auto" w:after="60"/>
        <w:ind w:left="360" w:hanging="216"/>
        <w:jc w:val="both"/>
      </w:pPr>
      <w:r>
        <w:rPr>
          <w:rFonts w:ascii="Times New Roman" w:hAnsi="Times New Roman" w:eastAsia="Times New Roman"/>
          <w:color w:val="000000"/>
          <w:sz w:val="24"/>
        </w:rPr>
        <w:t>• Formulating a research question for an under-resourced historical language.</w:t>
      </w:r>
    </w:p>
    <w:p>
      <w:pPr>
        <w:spacing w:line="360" w:lineRule="auto" w:after="60"/>
        <w:ind w:left="360" w:hanging="216"/>
        <w:jc w:val="both"/>
      </w:pPr>
      <w:r>
        <w:rPr>
          <w:rFonts w:ascii="Times New Roman" w:hAnsi="Times New Roman" w:eastAsia="Times New Roman"/>
          <w:color w:val="000000"/>
          <w:sz w:val="24"/>
        </w:rPr>
        <w:t>• Building auditable data pipelines from heterogeneous sources.</w:t>
      </w:r>
    </w:p>
    <w:p>
      <w:pPr>
        <w:spacing w:line="360" w:lineRule="auto" w:after="60"/>
        <w:ind w:left="360" w:hanging="216"/>
        <w:jc w:val="both"/>
      </w:pPr>
      <w:r>
        <w:rPr>
          <w:rFonts w:ascii="Times New Roman" w:hAnsi="Times New Roman" w:eastAsia="Times New Roman"/>
          <w:color w:val="000000"/>
          <w:sz w:val="24"/>
        </w:rPr>
        <w:t>• Handling Unicode, transliteration, script normalization, and orthographic variation.</w:t>
      </w:r>
    </w:p>
    <w:p>
      <w:pPr>
        <w:spacing w:line="360" w:lineRule="auto" w:after="60"/>
        <w:ind w:left="360" w:hanging="216"/>
        <w:jc w:val="both"/>
      </w:pPr>
      <w:r>
        <w:rPr>
          <w:rFonts w:ascii="Times New Roman" w:hAnsi="Times New Roman" w:eastAsia="Times New Roman"/>
          <w:color w:val="000000"/>
          <w:sz w:val="24"/>
        </w:rPr>
        <w:t>• Fine-tuning multilingual sequence-to-sequence models with mixed precision.</w:t>
      </w:r>
    </w:p>
    <w:p>
      <w:pPr>
        <w:spacing w:line="360" w:lineRule="auto" w:after="60"/>
        <w:ind w:left="360" w:hanging="216"/>
        <w:jc w:val="both"/>
      </w:pPr>
      <w:r>
        <w:rPr>
          <w:rFonts w:ascii="Times New Roman" w:hAnsi="Times New Roman" w:eastAsia="Times New Roman"/>
          <w:color w:val="000000"/>
          <w:sz w:val="24"/>
        </w:rPr>
        <w:t>• Using checkpoint selection and directional transfer in low-resource settings.</w:t>
      </w:r>
    </w:p>
    <w:p>
      <w:pPr>
        <w:spacing w:line="360" w:lineRule="auto" w:after="60"/>
        <w:ind w:left="360" w:hanging="216"/>
        <w:jc w:val="both"/>
      </w:pPr>
      <w:r>
        <w:rPr>
          <w:rFonts w:ascii="Times New Roman" w:hAnsi="Times New Roman" w:eastAsia="Times New Roman"/>
          <w:color w:val="000000"/>
          <w:sz w:val="24"/>
        </w:rPr>
        <w:t>• Running efficient batched inference and filtering large synthetic collections.</w:t>
      </w:r>
    </w:p>
    <w:p>
      <w:pPr>
        <w:spacing w:line="360" w:lineRule="auto" w:after="60"/>
        <w:ind w:left="360" w:hanging="216"/>
        <w:jc w:val="both"/>
      </w:pPr>
      <w:r>
        <w:rPr>
          <w:rFonts w:ascii="Times New Roman" w:hAnsi="Times New Roman" w:eastAsia="Times New Roman"/>
          <w:color w:val="000000"/>
          <w:sz w:val="24"/>
        </w:rPr>
        <w:t>• Auditing train-evaluation leakage, metric inflation, and reproducibility gaps.</w:t>
      </w:r>
    </w:p>
    <w:p>
      <w:pPr>
        <w:spacing w:line="360" w:lineRule="auto" w:after="60"/>
        <w:ind w:left="360" w:hanging="216"/>
        <w:jc w:val="both"/>
      </w:pPr>
      <w:r>
        <w:rPr>
          <w:rFonts w:ascii="Times New Roman" w:hAnsi="Times New Roman" w:eastAsia="Times New Roman"/>
          <w:color w:val="000000"/>
          <w:sz w:val="24"/>
        </w:rPr>
        <w:t>• Recording negative results and distinguishing exploratory comparisons from controlled evidence.</w:t>
      </w:r>
    </w:p>
    <w:p>
      <w:pPr>
        <w:spacing w:before="120" w:after="160" w:line="312" w:lineRule="auto"/>
        <w:ind w:left="259" w:right="115"/>
        <w:jc w:val="both"/>
        <w:shd w:fill="EAF5FB"/>
        <w:pBdr>
          <w:left w:val="single" w:sz="18" w:space="10" w:color="3D8DFF"/>
        </w:pBdr>
      </w:pPr>
      <w:r>
        <w:rPr>
          <w:rFonts w:ascii="Times New Roman" w:hAnsi="Times New Roman" w:eastAsia="Times New Roman"/>
          <w:i/>
          <w:color w:val="20324A"/>
          <w:sz w:val="24"/>
        </w:rPr>
        <w:t>The most important learning was that, in low-resource NLP, dataset construction and evaluation design can influence the conclusion as strongly as the model architecture.</w:t>
      </w:r>
    </w:p>
    <w:p>
      <w:pPr>
        <w:pStyle w:val="Heading3"/>
        <w:keepNext/>
        <w:keepLines/>
        <w:pageBreakBefore w:val="0"/>
        <w:spacing w:before="160" w:after="120" w:line="240" w:lineRule="auto"/>
        <w:jc w:val="left"/>
        <w:outlineLvl w:val="2"/>
      </w:pPr>
      <w:r>
        <w:rPr>
          <w:rFonts w:ascii="Times New Roman" w:hAnsi="Times New Roman" w:eastAsia="Times New Roman"/>
          <w:b/>
          <w:color w:val="000000"/>
          <w:sz w:val="24"/>
        </w:rPr>
        <w:t>4.9.6 Conclusion and Future Work</w:t>
      </w:r>
    </w:p>
    <w:p>
      <w:pPr>
        <w:keepNext w:val="0"/>
        <w:spacing w:line="360" w:lineRule="auto" w:before="0" w:after="120"/>
        <w:ind w:firstLine="432"/>
        <w:jc w:val="both"/>
      </w:pPr>
      <w:r>
        <w:rPr>
          <w:rFonts w:ascii="Times New Roman" w:hAnsi="Times New Roman" w:eastAsia="Times New Roman"/>
          <w:color w:val="000000"/>
          <w:sz w:val="24"/>
        </w:rPr>
        <w:t>The internship established a complete experimental pipeline for Prakrit-English machine translation. PrakritM2M demonstrated that M2M-100 could be adapted for both translation directions, while PraDCT provided a practical way to transfer the selected P2E checkpoint into reverse-direction training. The project also produced a large, separately auditable synthetic collection and an auxiliary lexical analysis.</w:t>
      </w:r>
    </w:p>
    <w:p>
      <w:pPr>
        <w:keepNext w:val="0"/>
        <w:spacing w:line="360" w:lineRule="auto" w:before="0" w:after="120"/>
        <w:ind w:firstLine="432"/>
        <w:jc w:val="both"/>
      </w:pPr>
      <w:r>
        <w:rPr>
          <w:rFonts w:ascii="Times New Roman" w:hAnsi="Times New Roman" w:eastAsia="Times New Roman"/>
          <w:color w:val="000000"/>
          <w:sz w:val="24"/>
        </w:rPr>
        <w:t>Future work should construct a philologist-reviewed and strictly deduplicated test set, fix random seeds, run multiple trials, add dialect and provenance metadata, and compare multilingual backbones under matched budgets. Human evaluation should assess meaning preservation, grammaticality, historical appropriateness, and dialect consistency. Synthetic pairs should be introduced gradually with confidence weighting or curriculum learning rather than treated as equally reliable.</w:t>
      </w:r>
    </w:p>
    <w:p>
      <w:pPr>
        <w:pStyle w:val="Heading2"/>
        <w:keepNext/>
        <w:keepLines/>
        <w:pageBreakBefore w:val="0"/>
        <w:spacing w:before="160" w:after="120" w:line="240" w:lineRule="auto"/>
        <w:jc w:val="left"/>
        <w:outlineLvl w:val="1"/>
      </w:pPr>
      <w:r>
        <w:rPr>
          <w:rFonts w:ascii="Times New Roman" w:hAnsi="Times New Roman" w:eastAsia="Times New Roman"/>
          <w:b/>
          <w:color w:val="000000"/>
          <w:sz w:val="24"/>
        </w:rPr>
        <w:t>4.10 Internship Completion Certificate and Communication Evidence</w:t>
      </w:r>
    </w:p>
    <w:p>
      <w:pPr>
        <w:keepNext w:val="0"/>
        <w:spacing w:line="360" w:lineRule="auto" w:before="0" w:after="120"/>
        <w:ind w:firstLine="432"/>
        <w:jc w:val="both"/>
      </w:pPr>
      <w:r>
        <w:rPr>
          <w:rFonts w:ascii="Times New Roman" w:hAnsi="Times New Roman" w:eastAsia="Times New Roman"/>
          <w:color w:val="000000"/>
          <w:sz w:val="24"/>
        </w:rPr>
        <w:t>The submitted administrative records include the original IIT Delhi internship offer letter and the subsequently supplied internship completion certificate. Both are reproduced in the front matter. The documents record the internship period, host laboratory, supervising faculty member, institutional affiliation, and the administrative project title.</w:t>
      </w:r>
    </w:p>
    <w:p>
      <w:pPr>
        <w:keepNext w:val="0"/>
        <w:spacing w:line="360" w:lineRule="auto" w:before="0" w:after="120"/>
        <w:ind w:firstLine="432"/>
        <w:jc w:val="both"/>
      </w:pPr>
      <w:r>
        <w:rPr>
          <w:rFonts w:ascii="Times New Roman" w:hAnsi="Times New Roman" w:eastAsia="Times New Roman"/>
          <w:color w:val="000000"/>
          <w:sz w:val="24"/>
        </w:rPr>
        <w:t>The completion certificate is inserted exactly as supplied, without changing its logo, signature, dates, wording, contact details, or visual layout. It records the administrative project title "Agentic Systems for Recommendations." As noted in Section 4.2, this report documents the Prakrit machine translation research work selected for academic internship evaluation.</w:t>
      </w:r>
    </w:p>
    <w:p>
      <w:pPr>
        <w:keepNext w:val="0"/>
        <w:spacing w:line="360" w:lineRule="auto" w:before="0" w:after="120"/>
        <w:ind w:firstLine="432"/>
        <w:jc w:val="both"/>
      </w:pPr>
      <w:r>
        <w:rPr>
          <w:rFonts w:ascii="Times New Roman" w:hAnsi="Times New Roman" w:eastAsia="Times New Roman"/>
          <w:color w:val="000000"/>
          <w:sz w:val="24"/>
        </w:rPr>
        <w:t>Section 4.10.1 reproduces the supplied Gmail screenshot of the internship offer communication. It shows the offer email dated 15 May 2026, sent to iamthehimansh@gmail.com, with the internship period, project title, location, stipend, and supervisor details. The email documents the offer communication; completion is documented separately by the completion certificate.</w:t>
      </w:r>
    </w:p>
    <w:p>
      <w:pPr>
        <w:pStyle w:val="Heading3"/>
        <w:keepNext/>
        <w:keepLines/>
        <w:pageBreakBefore/>
        <w:spacing w:before="0" w:after="80" w:line="240" w:lineRule="auto"/>
        <w:jc w:val="left"/>
        <w:outlineLvl w:val="2"/>
      </w:pPr>
      <w:r>
        <w:rPr>
          <w:rFonts w:ascii="Times New Roman" w:hAnsi="Times New Roman" w:eastAsia="Times New Roman"/>
          <w:b/>
          <w:color w:val="000000"/>
          <w:sz w:val="24"/>
        </w:rPr>
        <w:t>4.10.1 Internship Offer Email Screenshot</w:t>
      </w:r>
    </w:p>
    <w:p>
      <w:pPr>
        <w:spacing w:before="0" w:after="0"/>
        <w:jc w:val="center"/>
      </w:pPr>
      <w:r>
        <w:rPr>
          <w:rFonts w:ascii="Times New Roman" w:hAnsi="Times New Roman" w:eastAsia="Times New Roman"/>
          <w:color w:val="000000"/>
          <w:sz w:val="24"/>
        </w:rPr>
        <w:drawing>
          <wp:inline xmlns:a="http://schemas.openxmlformats.org/drawingml/2006/main" xmlns:pic="http://schemas.openxmlformats.org/drawingml/2006/picture">
            <wp:extent cx="5212080" cy="6112267"/>
            <wp:docPr id="10" name="Picture 10" descr="Supplied Gmail screenshot showing the internship offer email dated 15 May 2026" title="Supplied Gmail screenshot showing the internship offer email dated 15 May 2026"/>
            <wp:cNvGraphicFramePr>
              <a:graphicFrameLocks noChangeAspect="1"/>
            </wp:cNvGraphicFramePr>
            <a:graphic>
              <a:graphicData uri="http://schemas.openxmlformats.org/drawingml/2006/picture">
                <pic:pic>
                  <pic:nvPicPr>
                    <pic:cNvPr id="0" name="ChatGPT Image Aug 29, 2026, 04_50_59 AM.png"/>
                    <pic:cNvPicPr/>
                  </pic:nvPicPr>
                  <pic:blipFill>
                    <a:blip r:embed="rId24"/>
                    <a:stretch>
                      <a:fillRect/>
                    </a:stretch>
                  </pic:blipFill>
                  <pic:spPr>
                    <a:xfrm>
                      <a:off x="0" y="0"/>
                      <a:ext cx="5212080" cy="6112267"/>
                    </a:xfrm>
                    <a:prstGeom prst="rect"/>
                  </pic:spPr>
                </pic:pic>
              </a:graphicData>
            </a:graphic>
          </wp:inline>
        </w:drawing>
      </w:r>
    </w:p>
    <w:p>
      <w:pPr>
        <w:pStyle w:val="Heading1"/>
        <w:keepNext/>
        <w:keepLines/>
        <w:pageBreakBefore/>
        <w:spacing w:before="240" w:after="240" w:line="240" w:lineRule="auto"/>
        <w:jc w:val="center"/>
        <w:outlineLvl w:val="0"/>
      </w:pPr>
      <w:r>
        <w:rPr>
          <w:rFonts w:ascii="Times New Roman" w:hAnsi="Times New Roman" w:eastAsia="Times New Roman"/>
          <w:b/>
          <w:color w:val="000000"/>
          <w:sz w:val="28"/>
        </w:rPr>
        <w:t>5. BIBLIOGRAPHY / REFERENCES</w:t>
      </w:r>
    </w:p>
    <w:p>
      <w:pPr>
        <w:spacing w:line="240" w:lineRule="auto" w:after="100"/>
        <w:ind w:left="403" w:hanging="403"/>
        <w:jc w:val="both"/>
      </w:pPr>
      <w:r>
        <w:rPr>
          <w:rFonts w:ascii="Times New Roman" w:hAnsi="Times New Roman" w:eastAsia="Times New Roman"/>
          <w:color w:val="000000"/>
          <w:sz w:val="24"/>
        </w:rPr>
        <w:t>[1] A. Fan et al., "Beyond English-Centric Multilingual Machine Translation," Journal of Machine Learning Research, vol. 22, no. 107, pp. 1-48, 2021. https://jmlr.org/papers/v22/20-1307.html</w:t>
      </w:r>
    </w:p>
    <w:p>
      <w:pPr>
        <w:spacing w:line="240" w:lineRule="auto" w:after="100"/>
        <w:ind w:left="403" w:hanging="403"/>
        <w:jc w:val="both"/>
      </w:pPr>
      <w:r>
        <w:rPr>
          <w:rFonts w:ascii="Times New Roman" w:hAnsi="Times New Roman" w:eastAsia="Times New Roman"/>
          <w:color w:val="000000"/>
          <w:sz w:val="24"/>
        </w:rPr>
        <w:t>[2] NLLB Team, M. R. Costa-jussa, J. Cross, et al., "Scaling Neural Machine Translation to 200 Languages," Nature, vol. 630, no. 8018, pp. 841-846, 2024. https://doi.org/10.1038/s41586-024-07335-x</w:t>
      </w:r>
    </w:p>
    <w:p>
      <w:pPr>
        <w:spacing w:line="240" w:lineRule="auto" w:after="100"/>
        <w:ind w:left="403" w:hanging="403"/>
        <w:jc w:val="both"/>
      </w:pPr>
      <w:r>
        <w:rPr>
          <w:rFonts w:ascii="Times New Roman" w:hAnsi="Times New Roman" w:eastAsia="Times New Roman"/>
          <w:color w:val="000000"/>
          <w:sz w:val="24"/>
        </w:rPr>
        <w:t>[3] J. P. Gala et al., "IndicTrans2: Towards High-Quality and Accessible Machine Translation Models for All 22 Scheduled Indian Languages," Transactions on Machine Learning Research, 2023. https://openreview.net/forum?id=vfT4YuzAYA</w:t>
      </w:r>
    </w:p>
    <w:p>
      <w:pPr>
        <w:spacing w:line="240" w:lineRule="auto" w:after="100"/>
        <w:ind w:left="403" w:hanging="403"/>
        <w:jc w:val="both"/>
      </w:pPr>
      <w:r>
        <w:rPr>
          <w:rFonts w:ascii="Times New Roman" w:hAnsi="Times New Roman" w:eastAsia="Times New Roman"/>
          <w:color w:val="000000"/>
          <w:sz w:val="24"/>
        </w:rPr>
        <w:t>[4] B. Haddow, R. Bawden, A. V. Miceli Barone, J. Helcl, and A. Birch, "Survey of Low-Resource Machine Translation," Computational Linguistics, vol. 48, no. 3, pp. 673-732, 2022. https://aclanthology.org/2022.cl-3.6/</w:t>
      </w:r>
    </w:p>
    <w:p>
      <w:pPr>
        <w:spacing w:line="240" w:lineRule="auto" w:after="100"/>
        <w:ind w:left="403" w:hanging="403"/>
        <w:jc w:val="both"/>
      </w:pPr>
      <w:r>
        <w:rPr>
          <w:rFonts w:ascii="Times New Roman" w:hAnsi="Times New Roman" w:eastAsia="Times New Roman"/>
          <w:color w:val="000000"/>
          <w:sz w:val="24"/>
        </w:rPr>
        <w:t>[5] O. Choksi, S. Kareliya, S. Malviya, and P. Mishra, "English-to-Prakrit Machine Translation via Multilingual Transfer Learning," arXiv:2606.06038, 2026. https://arxiv.org/abs/2606.06038</w:t>
      </w:r>
    </w:p>
    <w:p>
      <w:pPr>
        <w:spacing w:line="240" w:lineRule="auto" w:after="100"/>
        <w:ind w:left="403" w:hanging="403"/>
        <w:jc w:val="both"/>
      </w:pPr>
      <w:r>
        <w:rPr>
          <w:rFonts w:ascii="Times New Roman" w:hAnsi="Times New Roman" w:eastAsia="Times New Roman"/>
          <w:color w:val="000000"/>
          <w:sz w:val="24"/>
        </w:rPr>
        <w:t>[6] R. Sennrich, B. Haddow, and A. Birch, "Improving Neural Machine Translation Models with Monolingual Data," Proceedings of ACL, pp. 86-96, 2016. https://aclanthology.org/P16-1009/</w:t>
      </w:r>
    </w:p>
    <w:p>
      <w:pPr>
        <w:spacing w:line="240" w:lineRule="auto" w:after="100"/>
        <w:ind w:left="403" w:hanging="403"/>
        <w:jc w:val="both"/>
      </w:pPr>
      <w:r>
        <w:rPr>
          <w:rFonts w:ascii="Times New Roman" w:hAnsi="Times New Roman" w:eastAsia="Times New Roman"/>
          <w:color w:val="000000"/>
          <w:sz w:val="24"/>
        </w:rPr>
        <w:t>[7] K. Papineni, S. Roukos, T. Ward, and W.-J. Zhu, "BLEU: A Method for Automatic Evaluation of Machine Translation," Proceedings of ACL, pp. 311-318, 2002. https://aclanthology.org/P02-1040/</w:t>
      </w:r>
    </w:p>
    <w:p>
      <w:pPr>
        <w:spacing w:line="240" w:lineRule="auto" w:after="100"/>
        <w:ind w:left="403" w:hanging="403"/>
        <w:jc w:val="both"/>
      </w:pPr>
      <w:r>
        <w:rPr>
          <w:rFonts w:ascii="Times New Roman" w:hAnsi="Times New Roman" w:eastAsia="Times New Roman"/>
          <w:color w:val="000000"/>
          <w:sz w:val="24"/>
        </w:rPr>
        <w:t>[8] M. Post, "A Call for Clarity in Reporting BLEU Scores," Proceedings of the Third Conference on Machine Translation, pp. 186-191, 2018. https://aclanthology.org/W18-6319/</w:t>
      </w:r>
    </w:p>
    <w:p>
      <w:pPr>
        <w:spacing w:line="240" w:lineRule="auto" w:after="100"/>
        <w:ind w:left="403" w:hanging="403"/>
        <w:jc w:val="both"/>
      </w:pPr>
      <w:r>
        <w:rPr>
          <w:rFonts w:ascii="Times New Roman" w:hAnsi="Times New Roman" w:eastAsia="Times New Roman"/>
          <w:color w:val="000000"/>
          <w:sz w:val="24"/>
        </w:rPr>
        <w:t>[9] T. Kudo and J. Richardson, "SentencePiece: A Simple and Language Independent Subword Tokenizer and Detokenizer for Neural Text Processing," Proceedings of EMNLP System Demonstrations, pp. 66-71, 2018. https://aclanthology.org/D18-2012/</w:t>
      </w:r>
    </w:p>
    <w:p>
      <w:pPr>
        <w:spacing w:line="240" w:lineRule="auto" w:after="100"/>
        <w:ind w:left="403" w:hanging="403"/>
        <w:jc w:val="both"/>
      </w:pPr>
      <w:r>
        <w:rPr>
          <w:rFonts w:ascii="Times New Roman" w:hAnsi="Times New Roman" w:eastAsia="Times New Roman"/>
          <w:color w:val="000000"/>
          <w:sz w:val="24"/>
        </w:rPr>
        <w:t>[10] E. J. Hu et al., "LoRA: Low-Rank Adaptation of Large Language Models," International Conference on Learning Representations, 2022. https://openreview.net/forum?id=nZeVKeeFYf9</w:t>
      </w:r>
    </w:p>
    <w:p>
      <w:pPr>
        <w:spacing w:line="240" w:lineRule="auto" w:after="100"/>
        <w:ind w:left="403" w:hanging="403"/>
        <w:jc w:val="both"/>
      </w:pPr>
      <w:r>
        <w:rPr>
          <w:rFonts w:ascii="Times New Roman" w:hAnsi="Times New Roman" w:eastAsia="Times New Roman"/>
          <w:color w:val="000000"/>
          <w:sz w:val="24"/>
        </w:rPr>
        <w:t>[11] G. Klein, D. Zhang, C. Chouteau, J. Crego, and J. Senellart, "Efficient and High-Quality Neural Machine Translation with OpenNMT," Proceedings of the Fourth Workshop on Neural Generation and Translation, pp. 211-217, 2020. https://aclanthology.org/2020.ngt-1.25/</w:t>
      </w:r>
    </w:p>
    <w:p>
      <w:pPr>
        <w:spacing w:line="240" w:lineRule="auto" w:after="100"/>
        <w:ind w:left="403" w:hanging="403"/>
        <w:jc w:val="both"/>
      </w:pPr>
      <w:r>
        <w:rPr>
          <w:rFonts w:ascii="Times New Roman" w:hAnsi="Times New Roman" w:eastAsia="Times New Roman"/>
          <w:color w:val="000000"/>
          <w:sz w:val="24"/>
        </w:rPr>
        <w:t>[12] T. Wolf et al., "Transformers: State-of-the-Art Natural Language Processing," Proceedings of EMNLP System Demonstrations, pp. 38-45, 2020. https://aclanthology.org/2020.emnlp-demos.6/</w:t>
      </w:r>
    </w:p>
    <w:p>
      <w:pPr>
        <w:spacing w:line="240" w:lineRule="auto" w:after="100"/>
        <w:ind w:left="403" w:hanging="403"/>
        <w:jc w:val="both"/>
      </w:pPr>
      <w:r>
        <w:rPr>
          <w:rFonts w:ascii="Times New Roman" w:hAnsi="Times New Roman" w:eastAsia="Times New Roman"/>
          <w:color w:val="000000"/>
          <w:sz w:val="24"/>
        </w:rPr>
        <w:t>[13] I. Loshchilov and F. Hutter, "Decoupled Weight Decay Regularization," International Conference on Learning Representations, 2019. https://openreview.net/forum?id=Bkg6RiCqY7</w:t>
      </w:r>
    </w:p>
    <w:p>
      <w:pPr>
        <w:spacing w:line="240" w:lineRule="auto" w:after="100"/>
        <w:ind w:left="403" w:hanging="403"/>
        <w:jc w:val="both"/>
      </w:pPr>
      <w:r>
        <w:rPr>
          <w:rFonts w:ascii="Times New Roman" w:hAnsi="Times New Roman" w:eastAsia="Times New Roman"/>
          <w:color w:val="000000"/>
          <w:sz w:val="24"/>
        </w:rPr>
        <w:t>[14] sarch7040, "Deshika," Hugging Face Datasets. https://huggingface.co/datasets/sarch7040/Deshika</w:t>
      </w:r>
    </w:p>
    <w:p>
      <w:pPr>
        <w:spacing w:line="240" w:lineRule="auto" w:after="100"/>
        <w:ind w:left="403" w:hanging="403"/>
        <w:jc w:val="both"/>
      </w:pPr>
      <w:r>
        <w:rPr>
          <w:rFonts w:ascii="Times New Roman" w:hAnsi="Times New Roman" w:eastAsia="Times New Roman"/>
          <w:color w:val="000000"/>
          <w:sz w:val="24"/>
        </w:rPr>
        <w:t>[15] prakrit.info, "Prakrit Language Resources." https://prakrit.info/</w:t>
      </w:r>
    </w:p>
    <w:p>
      <w:pPr>
        <w:spacing w:line="240" w:lineRule="auto" w:after="100"/>
        <w:ind w:left="403" w:hanging="403"/>
        <w:jc w:val="both"/>
      </w:pPr>
      <w:r>
        <w:rPr>
          <w:rFonts w:ascii="Times New Roman" w:hAnsi="Times New Roman" w:eastAsia="Times New Roman"/>
          <w:color w:val="000000"/>
          <w:sz w:val="24"/>
        </w:rPr>
        <w:t>[16] Project Gutenberg, "Free eBooks." https://www.gutenberg.org/</w:t>
      </w:r>
    </w:p>
    <w:p>
      <w:pPr>
        <w:spacing w:line="240" w:lineRule="auto" w:after="100"/>
        <w:ind w:left="403" w:hanging="403"/>
        <w:jc w:val="both"/>
      </w:pPr>
      <w:r>
        <w:rPr>
          <w:rFonts w:ascii="Times New Roman" w:hAnsi="Times New Roman" w:eastAsia="Times New Roman"/>
          <w:color w:val="000000"/>
          <w:sz w:val="24"/>
        </w:rPr>
        <w:t>[17] Tatoeba, "Collection of Sentences and Translations." https://tatoeba.org/</w:t>
      </w:r>
    </w:p>
    <w:p>
      <w:pPr>
        <w:spacing w:line="240" w:lineRule="auto" w:after="100"/>
        <w:ind w:left="403" w:hanging="403"/>
        <w:jc w:val="both"/>
      </w:pPr>
      <w:r>
        <w:rPr>
          <w:rFonts w:ascii="Times New Roman" w:hAnsi="Times New Roman" w:eastAsia="Times New Roman"/>
          <w:color w:val="000000"/>
          <w:sz w:val="24"/>
        </w:rPr>
        <w:t>[18] R. Pischel, A Grammar of the Prakrit Languages, S. Jha, trans., 2nd rev. ed. Delhi: Motilal Banarsidass, 1981. https://catalog.hathitrust.org/Record/000148305</w:t>
      </w:r>
    </w:p>
    <w:sectPr w:rsidR="0027394D" w:rsidSect="00FF1071">
      <w:footerReference w:type="default" r:id="rId19"/>
      <w:pgSz w:w="11906" w:h="16838"/>
      <w:pgMar w:top="1080" w:right="1440" w:bottom="1440" w:left="2160" w:header="504" w:footer="504" w:gutter="0"/>
      <w:pgNumType w:start="1" w:fmt="decimal"/>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000000"/>
        <w:sz w:val="22"/>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000000"/>
        <w:sz w:val="22"/>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000000"/>
        <w:sz w:val="22"/>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000000"/>
        <w:sz w:val="22"/>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000000"/>
        <w:sz w:val="22"/>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8"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1015498">
    <w:abstractNumId w:val="1"/>
  </w:num>
  <w:num w:numId="2" w16cid:durableId="1561400400">
    <w:abstractNumId w:val="13"/>
  </w:num>
  <w:num w:numId="3" w16cid:durableId="1906212709">
    <w:abstractNumId w:val="10"/>
  </w:num>
  <w:num w:numId="4" w16cid:durableId="1179849972">
    <w:abstractNumId w:val="12"/>
  </w:num>
  <w:num w:numId="5" w16cid:durableId="533273421">
    <w:abstractNumId w:val="9"/>
  </w:num>
  <w:num w:numId="6" w16cid:durableId="104079671">
    <w:abstractNumId w:val="3"/>
  </w:num>
  <w:num w:numId="7" w16cid:durableId="1060053583">
    <w:abstractNumId w:val="2"/>
  </w:num>
  <w:num w:numId="8" w16cid:durableId="500589601">
    <w:abstractNumId w:val="8"/>
  </w:num>
  <w:num w:numId="9" w16cid:durableId="1287926361">
    <w:abstractNumId w:val="7"/>
  </w:num>
  <w:num w:numId="10" w16cid:durableId="1434321180">
    <w:abstractNumId w:val="11"/>
  </w:num>
  <w:num w:numId="11" w16cid:durableId="173034270">
    <w:abstractNumId w:val="5"/>
  </w:num>
  <w:num w:numId="12" w16cid:durableId="87580879">
    <w:abstractNumId w:val="0"/>
  </w:num>
  <w:num w:numId="13" w16cid:durableId="248391374">
    <w:abstractNumId w:val="6"/>
  </w:num>
  <w:num w:numId="14" w16cid:durableId="27873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78EB"/>
    <w:rsid w:val="000F2090"/>
    <w:rsid w:val="00183FA5"/>
    <w:rsid w:val="002379B4"/>
    <w:rsid w:val="0027394D"/>
    <w:rsid w:val="00353BCE"/>
    <w:rsid w:val="005545B7"/>
    <w:rsid w:val="00615F74"/>
    <w:rsid w:val="0088091E"/>
    <w:rsid w:val="0093092D"/>
    <w:rsid w:val="009B4148"/>
    <w:rsid w:val="009F0230"/>
    <w:rsid w:val="00BC5D0F"/>
    <w:rsid w:val="00CC24DB"/>
    <w:rsid w:val="00EB7718"/>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360" w:lineRule="auto" w:after="120"/>
      <w:jc w:val="both"/>
    </w:pPr>
    <w:rPr>
      <w:rFonts w:ascii="Times New Roman" w:hAnsi="Times New Roman" w:eastAsia="Times New Roman"/>
      <w:sz w:val="24"/>
    </w:rPr>
  </w:style>
  <w:style w:type="paragraph" w:styleId="Heading1">
    <w:name w:val="heading 1"/>
    <w:basedOn w:val="Normal"/>
    <w:next w:val="Normal"/>
    <w:pPr>
      <w:keepNext/>
      <w:keepLines/>
      <w:spacing w:before="480" w:after="120"/>
      <w:outlineLvl w:val="0"/>
    </w:pPr>
    <w:rPr>
      <w:rFonts w:ascii="Times New Roman" w:hAnsi="Times New Roman"/>
      <w:b/>
      <w:sz w:val="28"/>
      <w:szCs w:val="48"/>
    </w:rPr>
  </w:style>
  <w:style w:type="paragraph" w:styleId="Heading2">
    <w:name w:val="heading 2"/>
    <w:basedOn w:val="Normal"/>
    <w:next w:val="Normal"/>
    <w:pPr>
      <w:keepNext/>
      <w:keepLines/>
      <w:spacing w:before="360" w:after="80"/>
      <w:outlineLvl w:val="1"/>
    </w:pPr>
    <w:rPr>
      <w:rFonts w:ascii="Times New Roman" w:hAnsi="Times New Roman"/>
      <w:b/>
      <w:sz w:val="24"/>
      <w:szCs w:val="36"/>
    </w:rPr>
  </w:style>
  <w:style w:type="paragraph" w:styleId="Heading3">
    <w:name w:val="heading 3"/>
    <w:basedOn w:val="Normal"/>
    <w:next w:val="Normal"/>
    <w:pPr>
      <w:keepNext/>
      <w:keepLines/>
      <w:spacing w:before="280" w:after="80"/>
      <w:outlineLvl w:val="2"/>
    </w:pPr>
    <w:rPr>
      <w:rFonts w:ascii="Times New Roman" w:hAnsi="Times New Roman"/>
      <w:b/>
      <w:sz w:val="24"/>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footer" Target="footer2.xml"/><Relationship Id="rId11" Type="http://schemas.openxmlformats.org/officeDocument/2006/relationships/image" Target="media/image3.png"/><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4.png"/><Relationship Id="rId17" Type="http://schemas.openxmlformats.org/officeDocument/2006/relationships/footer" Target="footer7.xml"/><Relationship Id="rId18" Type="http://schemas.openxmlformats.org/officeDocument/2006/relationships/image" Target="media/image5.png"/><Relationship Id="rId19" Type="http://schemas.openxmlformats.org/officeDocument/2006/relationships/footer" Target="footer8.xm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PraDCT and PrakritM2M: Directional Checkpoint Transfer for Low-Resource Prakrit-English Neural Machine Translation</dc:title>
  <dc:creator>Himansh Raj</dc:creator>
  <cp:lastModifiedBy>Himansh Raj</cp:lastModifiedBy>
  <cp:revision>5</cp:revision>
  <dcterms:created xsi:type="dcterms:W3CDTF">2026-07-15T07:47:00Z</dcterms:created>
  <dcterms:modified xsi:type="dcterms:W3CDTF">2026-07-15T09:03:00Z</dcterms:modified>
  <dc:subject>Internship report - Prakrit-English neural machine translation</dc:subject>
  <cp:keywords>Prakrit, machine translation, M2M-100, low-resource NLP, internship</cp:keywords>
</cp:coreProperties>
</file>