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0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Business Requirements Document</w:t>
      </w:r>
    </w:p>
    <w:p>
      <w:pPr>
        <w:pBdr>
          <w:bottom w:val="single" w:color="0F7A7A" w:sz="16" w:space="8"/>
        </w:pBdr>
        <w:spacing w:after="60"/>
      </w:pPr>
      <w:r>
        <w:rPr>
          <w:rFonts w:ascii="Calibri" w:cs="Calibri" w:eastAsia="Calibri" w:hAnsi="Calibri"/>
          <w:color w:val="0F7A7A"/>
          <w:sz w:val="26"/>
          <w:szCs w:val="26"/>
        </w:rPr>
        <w:t xml:space="preserve">Power BI offering  ·  Template v1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Template note (delete before use): each «FieldName» marks a fill point. In Word (Developer tab) replace it with a content control whose Tag = the field name. Wrap each table's sample row in a Repeating Section content control. The Power Automate “Populate a Word template” action then lists these tags.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2500"/>
        <w:gridCol w:w="6860"/>
      </w:tblGrid>
      <w:tr>
        <w:tc>
          <w:tcPr>
            <w:tcW w:type="dxa" w:w="2500"/>
            <w:shd w:fill="EEF3F7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Client</w:t>
            </w:r>
          </w:p>
        </w:tc>
        <w:tc>
          <w:tcPr>
            <w:tcW w:type="dxa" w:w="686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20"/>
                <w:szCs w:val="20"/>
              </w:rPr>
              <w:t xml:space="preserve">«ClientName»</w:t>
            </w:r>
          </w:p>
        </w:tc>
      </w:tr>
      <w:tr>
        <w:tc>
          <w:tcPr>
            <w:tcW w:type="dxa" w:w="2500"/>
            <w:shd w:fill="EEF3F7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Project</w:t>
            </w:r>
          </w:p>
        </w:tc>
        <w:tc>
          <w:tcPr>
            <w:tcW w:type="dxa" w:w="686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20"/>
                <w:szCs w:val="20"/>
              </w:rPr>
              <w:t xml:space="preserve">«ProjectName»</w:t>
            </w:r>
          </w:p>
        </w:tc>
      </w:tr>
      <w:tr>
        <w:tc>
          <w:tcPr>
            <w:tcW w:type="dxa" w:w="2500"/>
            <w:shd w:fill="EEF3F7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Offering</w:t>
            </w:r>
          </w:p>
        </w:tc>
        <w:tc>
          <w:tcPr>
            <w:tcW w:type="dxa" w:w="686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Power BI</w:t>
            </w:r>
          </w:p>
        </w:tc>
      </w:tr>
      <w:tr>
        <w:tc>
          <w:tcPr>
            <w:tcW w:type="dxa" w:w="2500"/>
            <w:shd w:fill="EEF3F7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Author</w:t>
            </w:r>
          </w:p>
        </w:tc>
        <w:tc>
          <w:tcPr>
            <w:tcW w:type="dxa" w:w="686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20"/>
                <w:szCs w:val="20"/>
              </w:rPr>
              <w:t xml:space="preserve">«Author»</w:t>
            </w:r>
          </w:p>
        </w:tc>
      </w:tr>
      <w:tr>
        <w:tc>
          <w:tcPr>
            <w:tcW w:type="dxa" w:w="2500"/>
            <w:shd w:fill="EEF3F7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20"/>
                <w:szCs w:val="20"/>
              </w:rPr>
              <w:t xml:space="preserve">«DocDate»</w:t>
            </w:r>
          </w:p>
        </w:tc>
      </w:tr>
      <w:tr>
        <w:tc>
          <w:tcPr>
            <w:tcW w:type="dxa" w:w="2500"/>
            <w:shd w:fill="EEF3F7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686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20"/>
                <w:szCs w:val="20"/>
              </w:rPr>
              <w:t xml:space="preserve">«Version»</w:t>
            </w:r>
          </w:p>
        </w:tc>
      </w:tr>
      <w:tr>
        <w:tc>
          <w:tcPr>
            <w:tcW w:type="dxa" w:w="2500"/>
            <w:shd w:fill="EEF3F7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20"/>
                <w:szCs w:val="20"/>
              </w:rPr>
              <w:t xml:space="preserve">«Status»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Executive Summary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A short, plain-language summary of what the solution must deliver and why.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AA6B2"/>
          <w:sz w:val="18"/>
          <w:szCs w:val="18"/>
        </w:rPr>
        <w:t xml:space="preserve">«ExecutiveSummary»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Scope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2E5E8C"/>
          <w:sz w:val="23"/>
          <w:szCs w:val="23"/>
        </w:rPr>
        <w:t xml:space="preserve">Inclusions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AA6B2"/>
          <w:sz w:val="18"/>
          <w:szCs w:val="18"/>
        </w:rPr>
        <w:t xml:space="preserve">«ScopeInclusions»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2E5E8C"/>
          <w:sz w:val="23"/>
          <w:szCs w:val="23"/>
        </w:rPr>
        <w:t xml:space="preserve">Exclusions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AA6B2"/>
          <w:sz w:val="18"/>
          <w:szCs w:val="18"/>
        </w:rPr>
        <w:t xml:space="preserve">«ScopeExclusions»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Datasets &amp; Model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One row per in-scope dataset. (Repeating section — tag: DatasetsRow)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1300"/>
        <w:gridCol w:w="1900"/>
        <w:gridCol w:w="1200"/>
        <w:gridCol w:w="2360"/>
        <w:gridCol w:w="1300"/>
        <w:gridCol w:w="130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1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Grain</w:t>
            </w:r>
          </w:p>
        </w:tc>
        <w:tc>
          <w:tcPr>
            <w:tcW w:type="dxa" w:w="23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measures / dimensions</w:t>
            </w:r>
          </w:p>
        </w:tc>
        <w:tc>
          <w:tcPr>
            <w:tcW w:type="dxa" w:w="1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Refresh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«Ds_Name»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«Ds_Purpose»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«Ds_Grain»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«Ds_KeyFields»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«Ds_Source»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«Ds_Refresh»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Measures / DAX Logic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One row per measure. Every metric must carry its calculation logic. (Repeating section — tag: MeasureRow)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1900"/>
        <w:gridCol w:w="3660"/>
        <w:gridCol w:w="1300"/>
        <w:gridCol w:w="25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36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 / DAX logic</w:t>
            </w:r>
          </w:p>
        </w:tc>
        <w:tc>
          <w:tcPr>
            <w:tcW w:type="dxa" w:w="1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Grain</w:t>
            </w:r>
          </w:p>
        </w:tc>
        <w:tc>
          <w:tcPr>
            <w:tcW w:type="dxa" w:w="2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Filters / notes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«Ms_Name»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«Ms_Logic»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«Ms_Grain»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«Ms_Notes»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Dashboards &amp; Visuals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One row per dashboard. Alerts and delivery are captured in the last column. (Repeating section — tag: DashboardRow)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750"/>
        <w:gridCol w:w="1500"/>
        <w:gridCol w:w="1900"/>
        <w:gridCol w:w="1400"/>
        <w:gridCol w:w="1900"/>
        <w:gridCol w:w="1910"/>
      </w:tblGrid>
      <w:tr>
        <w:trPr>
          <w:tblHeader/>
        </w:trPr>
        <w:tc>
          <w:tcPr>
            <w:tcW w:type="dxa" w:w="7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Datasets</w:t>
            </w:r>
          </w:p>
        </w:tc>
        <w:tc>
          <w:tcPr>
            <w:tcW w:type="dxa" w:w="1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Metrics &amp; logic</w:t>
            </w:r>
          </w:p>
        </w:tc>
        <w:tc>
          <w:tcPr>
            <w:tcW w:type="dxa" w:w="191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Constraints &amp; delivery</w:t>
            </w:r>
          </w:p>
        </w:tc>
      </w:tr>
      <w:t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«Db_ID»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«Db_Name»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«Db_Purpose»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«Db_Datasets»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«Db_Metrics»</w:t>
            </w:r>
          </w:p>
        </w:tc>
        <w:tc>
          <w:tcPr>
            <w:tcW w:type="dxa" w:w="19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«Db_Constraints»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Row-Level Security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Roles, rules and how row-level access is enforced.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AA6B2"/>
          <w:sz w:val="18"/>
          <w:szCs w:val="18"/>
        </w:rPr>
        <w:t xml:space="preserve">«RowLevelSecurity»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Refresh / Gateway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Refresh schedule, gateway, data source credentials and dependencies.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AA6B2"/>
          <w:sz w:val="18"/>
          <w:szCs w:val="18"/>
        </w:rPr>
        <w:t xml:space="preserve">«RefreshGateway»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Business Rules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Client-facing business rules. (Repeating section — tag: BusinessRuleRow)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1050"/>
        <w:gridCol w:w="3060"/>
        <w:gridCol w:w="1300"/>
        <w:gridCol w:w="1650"/>
        <w:gridCol w:w="1150"/>
        <w:gridCol w:w="1150"/>
      </w:tblGrid>
      <w:tr>
        <w:trPr>
          <w:tblHeader/>
        </w:trPr>
        <w:tc>
          <w:tcPr>
            <w:tcW w:type="dxa" w:w="10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 ID</w:t>
            </w:r>
          </w:p>
        </w:tc>
        <w:tc>
          <w:tcPr>
            <w:tcW w:type="dxa" w:w="30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6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Dataset / Metric</w:t>
            </w:r>
          </w:p>
        </w:tc>
        <w:tc>
          <w:tcPr>
            <w:tcW w:type="dxa" w:w="11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1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Sign-off</w:t>
            </w:r>
          </w:p>
        </w:tc>
      </w:tr>
      <w:tr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«Br_ID»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«Br_Desc»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«Br_Owner»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«Br_Dataset»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«Br_Status»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«Br_Signoff»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 Non-Functional Requirements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Each row opens with a plain-language summary, then the precise requirement. Pre-seed the fixed categories. (Repeating section — tag: NfrRow)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2000"/>
        <w:gridCol w:w="2680"/>
        <w:gridCol w:w="3080"/>
        <w:gridCol w:w="160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68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Summary (plain language)</w:t>
            </w:r>
          </w:p>
        </w:tc>
        <w:tc>
          <w:tcPr>
            <w:tcW w:type="dxa" w:w="308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 (precise)</w:t>
            </w:r>
          </w:p>
        </w:tc>
        <w:tc>
          <w:tcPr>
            <w:tcW w:type="dxa" w:w="1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«Nfr_Category»</w:t>
            </w:r>
          </w:p>
        </w:tc>
        <w:tc>
          <w:tcPr>
            <w:tcW w:type="dxa" w:w="2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«Nfr_Summary»</w:t>
            </w:r>
          </w:p>
        </w:tc>
        <w:tc>
          <w:tcPr>
            <w:tcW w:type="dxa" w:w="30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«Nfr_Requirement»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«Nfr_Source»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Fixed categories to seed: Data Quality &amp; SLAs · Security · Compliance · Data Return &amp; Destruction · Authorized Users &amp; Access.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 Risks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(Repeating section — tag: RiskRow)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2500"/>
        <w:gridCol w:w="1600"/>
        <w:gridCol w:w="1300"/>
        <w:gridCol w:w="2560"/>
        <w:gridCol w:w="14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1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25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  <w:tc>
          <w:tcPr>
            <w:tcW w:type="dxa" w:w="1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«Rk_Risk»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«Rk_Impact»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«Rk_Likelihood»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«Rk_Mitigation»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«Rk_Owner»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11. Decision Registry / Log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(Repeating section — tag: DecisionRow)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1700"/>
        <w:gridCol w:w="1200"/>
        <w:gridCol w:w="2100"/>
        <w:gridCol w:w="1150"/>
        <w:gridCol w:w="1710"/>
        <w:gridCol w:w="15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2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Logic</w:t>
            </w:r>
          </w:p>
        </w:tc>
        <w:tc>
          <w:tcPr>
            <w:tcW w:type="dxa" w:w="11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1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Impacted sections</w:t>
            </w:r>
          </w:p>
        </w:tc>
        <w:tc>
          <w:tcPr>
            <w:tcW w:type="dxa" w:w="1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«Dc_Name»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«Dc_Dataset»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«Dc_Logic»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«Dc_Status»</w:t>
            </w:r>
          </w:p>
        </w:tc>
        <w:tc>
          <w:tcPr>
            <w:tcW w:type="dxa" w:w="1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«Dc_Impacted»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«Dc_Source»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12. Open Items / TBDs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(Repeating section — tag: TbdRow)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850"/>
        <w:gridCol w:w="3060"/>
        <w:gridCol w:w="1500"/>
        <w:gridCol w:w="2400"/>
        <w:gridCol w:w="1550"/>
      </w:tblGrid>
      <w:tr>
        <w:trPr>
          <w:tblHeader/>
        </w:trPr>
        <w:tc>
          <w:tcPr>
            <w:tcW w:type="dxa" w:w="8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Impacted sections</w:t>
            </w:r>
          </w:p>
        </w:tc>
        <w:tc>
          <w:tcPr>
            <w:tcW w:type="dxa" w:w="15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«Tb_ID»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«Tb_Item»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«Tb_Owner»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«Tb_Impacted»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«Tb_Status»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13. Governance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Cadence, RACI and sponsors, from the SOW.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AA6B2"/>
          <w:sz w:val="18"/>
          <w:szCs w:val="18"/>
        </w:rPr>
        <w:t xml:space="preserve">«Governance»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14. Sign-Off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A7885"/>
          <w:sz w:val="18"/>
          <w:szCs w:val="18"/>
        </w:rPr>
        <w:t xml:space="preserve">(Repeating section — tag: SignoffRow)</w:t>
      </w:r>
    </w:p>
    <w:tbl>
      <w:tblPr>
        <w:tblW w:type="dxa" w:w="9360"/>
        <w:tblBorders>
          <w:top w:val="single" w:color="C9D3DC" w:sz="4"/>
          <w:left w:val="single" w:color="C9D3DC" w:sz="4"/>
          <w:bottom w:val="single" w:color="C9D3DC" w:sz="4"/>
          <w:right w:val="single" w:color="C9D3DC" w:sz="4"/>
          <w:insideH w:val="single" w:color="C9D3DC" w:sz="4"/>
          <w:insideV w:val="single" w:color="C9D3DC" w:sz="4"/>
        </w:tblBorders>
      </w:tblPr>
      <w:tblGrid>
        <w:gridCol w:w="2600"/>
        <w:gridCol w:w="2600"/>
        <w:gridCol w:w="2560"/>
        <w:gridCol w:w="16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6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«Sg_Role»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«Sg_Name»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«Sg_Title»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A6B2"/>
                <w:sz w:val="16"/>
                <w:szCs w:val="16"/>
              </w:rPr>
              <w:t xml:space="preserve">«Sg_Date»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C" w:sz="4" w:space="6"/>
      </w:pBdr>
      <w:jc w:val="center"/>
    </w:pPr>
    <w:r>
      <w:rPr>
        <w:rFonts w:ascii="Calibri" w:cs="Calibri" w:eastAsia="Calibri" w:hAnsi="Calibri"/>
        <w:color w:val="6A7885"/>
        <w:sz w:val="16"/>
        <w:szCs w:val="16"/>
      </w:rPr>
      <w:t xml:space="preserve">Confidential  —  «ClientName» / «ProjectName»       Page </w:t>
    </w:r>
    <w:r>
      <w:rPr>
        <w:rFonts w:ascii="Calibri" w:cs="Calibri" w:eastAsia="Calibri" w:hAnsi="Calibri"/>
        <w:color w:val="6A78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885"/>
        <w:sz w:val="16"/>
        <w:szCs w:val="16"/>
      </w:rPr>
      <w:t xml:space="preserve"> of </w:t>
    </w:r>
    <w:r>
      <w:rPr>
        <w:rFonts w:ascii="Calibri" w:cs="Calibri" w:eastAsia="Calibri" w:hAnsi="Calibri"/>
        <w:color w:val="6A78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000"/>
      <w:gridCol w:w="6360"/>
    </w:tblGrid>
    <w:tr>
      <w:tc>
        <w:tcPr>
          <w:tcW w:type="dxa" w:w="3000"/>
          <w:tcBorders>
            <w:top w:val="dashed" w:color="AEBAC6" w:sz="6"/>
            <w:left w:val="dashed" w:color="AEBAC6" w:sz="6"/>
            <w:bottom w:val="dashed" w:color="AEBAC6" w:sz="6"/>
            <w:right w:val="dashed" w:color="AEBAC6" w:sz="6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i/>
              <w:iCs/>
              <w:color w:val="9AA6B2"/>
              <w:sz w:val="16"/>
              <w:szCs w:val="16"/>
            </w:rPr>
            <w:t xml:space="preserve">[ Insert logo ]</w:t>
          </w:r>
        </w:p>
      </w:tc>
      <w:tc>
        <w:tcPr>
          <w:tcW w:type="dxa" w:w="6360"/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80"/>
            <w:bottom w:type="dxa" w:w="60"/>
            <w:right w:type="dxa" w:w="4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1F3A5F"/>
              <w:sz w:val="18"/>
              <w:szCs w:val="18"/>
            </w:rPr>
            <w:t xml:space="preserve">Business Requirements Document</w:t>
          </w:r>
        </w:p>
      </w:tc>
    </w:tr>
  </w:tbl>
  <w:p>
    <w:pPr>
      <w:pBdr>
        <w:bottom w:val="single" w:color="C9D3DC" w:sz="6" w:space="2"/>
      </w:pBdr>
      <w:spacing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</w:pPr>
    <w:rPr>
      <w:rFonts w:ascii="Calibri" w:cs="Calibri" w:eastAsia="Calibri" w:hAnsi="Calibri"/>
      <w:b/>
      <w:bCs/>
      <w:color w:val="2E5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2026-09-30T10:56:40.217Z</dcterms:created>
  <dcterms:modified xsi:type="dcterms:W3CDTF">2026-09-30T10:56:40.230Z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