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PROJECT COMPASS — DISCOVERY NOTES &amp; DECISION LOG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F3A5F"/>
          <w:sz w:val="22"/>
          <w:szCs w:val="22"/>
        </w:rPr>
        <w:t xml:space="preserve">Meridian Therapeutics / IQVIA — Consolidated Confirmed Decisions (Complete Test Copy)</w:t>
      </w:r>
    </w:p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Status: </w:t>
      </w:r>
      <w:r>
        <w:rPr>
          <w:rFonts w:ascii="Calibri" w:cs="Calibri" w:eastAsia="Calibri" w:hAnsi="Calibri"/>
          <w:sz w:val="21"/>
          <w:szCs w:val="21"/>
        </w:rPr>
        <w:t xml:space="preserve">ALL discovery items below are CONFIRMED. There are NO open TBDs and NO items requiring manual user input. Every question in the discovery question bank (Broad, DDD/DDDMD, XPO/XPT, CRM, OneKey, IQVIA Internal) plus business rules and dashboard design is answered in these documents. The agent should require only confirmation, not new input.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A. Scope &amp; Offering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Offering: Power BI (standard IQVIA layout). No WhizAI / AI insights / natural-language Q&amp;A. [Confirmed — Sponsor]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Datasets: DDD/DDDMD, XPO/XPT, Veeva CRM, OneKey. Excluded: LAAD, FIA. [Confirmed — Data Team]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Delivery monthly via client sFTP; data size Large (~120M rows). [Confirmed]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Market: US, cardiology, Products A and B. IC out of scope. Web-based only (no iPad). Managed Care Workbook not used. [Confirmed]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B. Prescription (DDD/DDDMD, XPO/XPT)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DDD/DDDMD: client-maintained factoring, quarterly (time-based); $ and units; standard product level, not NDC. [Confirmed]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XPO/XPT: TRx/NRx, no factoring, not TQTY/NQTY. [Confirmed]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Both integrate with OneKey and join to CRM at HCP level. [Confirmed]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C. Alignment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Explicit alignment; single national sales force; HCP-to-multiple-territory overlap exists; no apportionment/weighting; alignment updates quarterly. [Confirmed — Sales Ops]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D. CRM (Veeva)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HCP-level calls only; Veeva; reps only; no out-of-territory credit; standard call-crediting (not custom); no splitting/weighting. [Confirmed]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Calls AND details; samples included; no marketing materials; standard IQVIA CPD/Reach/Frequency. [Confirmed]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Time-on-Territory file maintained and used to calculate business days. [Confirmed]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E. OneKey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iCADM; standard license, no restricted fields; refresh monthly; override order OneKey → XPT → CRM. [Confirmed]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F. IQVIA Internal (Delivery Prep)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Delivery format: Flat File (not WxDM). [Confirmed]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Data source: client-provided via sFTP; not routed through IDP / not a factor feed. [Confirmed]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NDC-level data for DDD/DDDMD: No — standard product level; outlet master not required. [Confirmed]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G. Business Rules (Client-Facing, All Confirmed)</w:t>
      </w:r>
    </w:p>
    <w:p>
      <w:pPr>
        <w:spacing w:after="80"/>
      </w:pP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1000"/>
        <w:gridCol w:w="4360"/>
        <w:gridCol w:w="1800"/>
        <w:gridCol w:w="1300"/>
        <w:gridCol w:w="900"/>
      </w:tblGrid>
      <w:tr>
        <w:trPr>
          <w:tblHeader/>
        </w:trPr>
        <w:tc>
          <w:tcPr>
            <w:tcW w:type="dxa" w:w="1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43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Dataset / Metric</w:t>
            </w:r>
          </w:p>
        </w:tc>
        <w:tc>
          <w:tcPr>
            <w:tcW w:type="dxa" w:w="9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BR-01</w:t>
            </w:r>
          </w:p>
        </w:tc>
        <w:tc>
          <w:tcPr>
            <w:tcW w:type="dxa" w:w="4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Prescription data must meet ≥ 95% data-quality threshold (record counts, referential integrity) before publish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IQVIA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/ QA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BR-02</w:t>
            </w:r>
          </w:p>
        </w:tc>
        <w:tc>
          <w:tcPr>
            <w:tcW w:type="dxa" w:w="4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DDD/DDDMD reported with client-maintained factoring, refreshed quarterly; $ and units; factored value = raw × current-quarter factor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Meridian Data Team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DDD/DDDMD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BR-03</w:t>
            </w:r>
          </w:p>
        </w:tc>
        <w:tc>
          <w:tcPr>
            <w:tcW w:type="dxa" w:w="4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XPO/XPT reported as TRx/NRx, no factoring, not TQTY/NQTY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IQVIA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XPO/XPT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BR-04</w:t>
            </w:r>
          </w:p>
        </w:tc>
        <w:tc>
          <w:tcPr>
            <w:tcW w:type="dxa" w:w="4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CRM call-crediting: standard logic; reps only; no out-of-territory credit; no splitting/weighting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Meridian Sales Ops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CRM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BR-05</w:t>
            </w:r>
          </w:p>
        </w:tc>
        <w:tc>
          <w:tcPr>
            <w:tcW w:type="dxa" w:w="4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CPD, Reach, Frequency use standard IQVIA definitions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IQVIA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CRM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BR-06</w:t>
            </w:r>
          </w:p>
        </w:tc>
        <w:tc>
          <w:tcPr>
            <w:tcW w:type="dxa" w:w="4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days derived from the Time-on-Territory (TOT) file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Meridian Sales Ops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CRM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BR-07</w:t>
            </w:r>
          </w:p>
        </w:tc>
        <w:tc>
          <w:tcPr>
            <w:tcW w:type="dxa" w:w="4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CRM-to-prescription (Rx) alignment is descriptive only, not causal (per TPA)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IQVIA + Meridian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CRM + Rx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BR-08</w:t>
            </w:r>
          </w:p>
        </w:tc>
        <w:tc>
          <w:tcPr>
            <w:tcW w:type="dxa" w:w="4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OneKey dimension override order: OneKey → XPT → CRM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IQVIA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OneKey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BR-09</w:t>
            </w:r>
          </w:p>
        </w:tc>
        <w:tc>
          <w:tcPr>
            <w:tcW w:type="dxa" w:w="4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OneKey reference data refreshed monthly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Meridian Data Team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OneKey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BR-10</w:t>
            </w:r>
          </w:p>
        </w:tc>
        <w:tc>
          <w:tcPr>
            <w:tcW w:type="dxa" w:w="4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HCP-level reporting only (not organization level)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Meridian Sales Ops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CRM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Confirmed</w:t>
            </w:r>
          </w:p>
        </w:tc>
      </w:tr>
    </w:tbl>
    <w:p>
      <w:pPr>
        <w:spacing w:after="8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H. Dashboard Specifications (All Fields Provided)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D-01 Prescription Performance — </w:t>
      </w:r>
      <w:r>
        <w:rPr>
          <w:rFonts w:ascii="Calibri" w:cs="Calibri" w:eastAsia="Calibri" w:hAnsi="Calibri"/>
          <w:sz w:val="21"/>
          <w:szCs w:val="21"/>
        </w:rPr>
        <w:t xml:space="preserve">Purpose: track prescription performance by geography and product. Datasets: DDD/DDDMD, XPO/XPT. Metrics + logic: TRx, NRx (standard IQVIA); factored $ and units (raw × quarterly factor). Constraints: standard definitions; monthly data. Delivery/Alert: Power BI Service, monthly refresh, email-subscription delivery. [Confirmed]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D-02 Field Activity vs Prescriptions — </w:t>
      </w:r>
      <w:r>
        <w:rPr>
          <w:rFonts w:ascii="Calibri" w:cs="Calibri" w:eastAsia="Calibri" w:hAnsi="Calibri"/>
          <w:sz w:val="21"/>
          <w:szCs w:val="21"/>
        </w:rPr>
        <w:t xml:space="preserve">Purpose: field activity alongside prescription performance at HCP level. Datasets: Veeva CRM, DDD/DDDMD, XPO/XPT. Metrics + logic: Calls, Details, CPD, Reach, Frequency (standard IQVIA); business days from TOT. Constraints: CRM-to-Rx descriptive only (per TPA); HCP-level only. Delivery/Alert: Power BI Service, monthly refresh; no proactive alerts. [Confirmed]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I. Governance &amp; Dependencies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Weekly status syncs; monthly milestone reviews; decisions tracked in Jira. [Confirmed]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Client provides: Veeva CRM extract, quarterly factor file, Geo Alignment file, Product Mapping file. OneKey share approved for non-prod. [Confirmed]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Compliance: GDPR/HIPAA/CCPA; AMA for US prescriber data; 12-month log retention; 30-day return/destruction + certificate; ISO 27001 / SOC 2. [Confirmed — per TPA]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2026-09-17T10:42:24.157Z</dcterms:created>
  <dcterms:modified xsi:type="dcterms:W3CDTF">2026-09-17T10:42:24.157Z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