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STATEMENT OF WORK (SOW)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F3A5F"/>
          <w:sz w:val="22"/>
          <w:szCs w:val="22"/>
        </w:rPr>
        <w:t xml:space="preserve">Project COMPASS — Commercial Analytics &amp; Field Reporting (Complete Test Copy)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Client: </w:t>
      </w:r>
      <w:r>
        <w:rPr>
          <w:rFonts w:ascii="Calibri" w:cs="Calibri" w:eastAsia="Calibri" w:hAnsi="Calibri"/>
          <w:sz w:val="20"/>
          <w:szCs w:val="20"/>
        </w:rPr>
        <w:t xml:space="preserve">Meridian Therapeutics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Vendor: </w:t>
      </w:r>
      <w:r>
        <w:rPr>
          <w:rFonts w:ascii="Calibri" w:cs="Calibri" w:eastAsia="Calibri" w:hAnsi="Calibri"/>
          <w:sz w:val="20"/>
          <w:szCs w:val="20"/>
        </w:rPr>
        <w:t xml:space="preserve">IQVIA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Effective Date: </w:t>
      </w:r>
      <w:r>
        <w:rPr>
          <w:rFonts w:ascii="Calibri" w:cs="Calibri" w:eastAsia="Calibri" w:hAnsi="Calibri"/>
          <w:sz w:val="20"/>
          <w:szCs w:val="20"/>
        </w:rPr>
        <w:t xml:space="preserve">2026-09-01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Version: </w:t>
      </w:r>
      <w:r>
        <w:rPr>
          <w:rFonts w:ascii="Calibri" w:cs="Calibri" w:eastAsia="Calibri" w:hAnsi="Calibri"/>
          <w:sz w:val="20"/>
          <w:szCs w:val="20"/>
        </w:rPr>
        <w:t xml:space="preserve">v3 (complete inputs)</w:t>
      </w:r>
    </w:p>
    <w:p>
      <w:pPr>
        <w:spacing w:after="80"/>
      </w:pP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1. Executive Summary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This Statement of Work defines the services, deliverables, and governance for a commercial analytics and field-reporting solution for Meridian Therapeutics, delivered by IQVIA on the Power BI offering. The engagement delivers a standardized Power BI dashboard suite over IQVIA prescription datasets (DDD/DDDMD and XPO/XPT), integrated with Meridian's Veeva CRM call activity and enriched with OneKey HCP/HCO reference data, refreshed monthly. All discovery parameters, business rules, and dashboard specifications required to author the BRD are captured within this SOW and its companion TPA, transcript, and decision-log documents.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2. Offering (Output Layout)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Offering: </w:t>
      </w:r>
      <w:r>
        <w:rPr>
          <w:rFonts w:ascii="Calibri" w:cs="Calibri" w:eastAsia="Calibri" w:hAnsi="Calibri"/>
          <w:sz w:val="21"/>
          <w:szCs w:val="21"/>
        </w:rPr>
        <w:t xml:space="preserve">Power BI (IQVIA standard reporting layout). WhizAI / AI-insight capability and natural-language Q&amp;A are explicitly NOT in scope for this engagement.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3. Engagement Parameters (Broad Discovery)</w:t>
      </w:r>
    </w:p>
    <w:p>
      <w:pPr>
        <w:spacing w:after="80"/>
      </w:pPr>
    </w:p>
    <w:tbl>
      <w:tblPr>
        <w:tblW w:type="dxa" w:w="936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59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Datasets in scope (internal &amp; external)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DDD/DDDMD, XPO/XPT, Meridian Veeva CRM, OneKey HCP/HCO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Datasets excluded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LAAD, FIA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Delivery frequency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size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Large (~120 million rows across prescription datasets)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Non-standard metrics or KPIs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 — standard IQVIA metrics only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CRM data in use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— Meridian Veeva CRM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Client-specific data sets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Veeva CRM extract; Geo Alignment and Product Mapping files (no Segmentation/Target files)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iPads / phones in scope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— web-based reporting only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aligned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— explicit alignment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Multiple sales forces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— single national sales force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HCP aligned to multiple territories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— overlap exists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Apportionment / weighting of metrics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 groupings or overrides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Market / products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United States; Meridian cardiology portfolio (Products A and B)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Managed Care Workbook / Payer Spine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used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sharing method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sFTP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Incentive Compensation (IC) in scope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— out of scope (Phase 1)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Alignment update frequency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Quarterly</w:t>
            </w:r>
          </w:p>
        </w:tc>
      </w:tr>
    </w:tbl>
    <w:p>
      <w:pPr>
        <w:spacing w:after="80"/>
      </w:pP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4. Scope of Work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Inclusions: </w:t>
      </w:r>
      <w:r>
        <w:rPr>
          <w:rFonts w:ascii="Calibri" w:cs="Calibri" w:eastAsia="Calibri" w:hAnsi="Calibri"/>
          <w:sz w:val="21"/>
          <w:szCs w:val="21"/>
        </w:rPr>
        <w:t xml:space="preserve">DDD/DDDMD ($ and units), XPO/XPT (TRx/NRx), Veeva CRM call activity integrated at HCP level, OneKey HCP/HCO reference and dimension alignment, and a Power BI dashboard suite with monthly refresh delivered via client sFTP.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Exclusions: </w:t>
      </w:r>
      <w:r>
        <w:rPr>
          <w:rFonts w:ascii="Calibri" w:cs="Calibri" w:eastAsia="Calibri" w:hAnsi="Calibri"/>
          <w:sz w:val="21"/>
          <w:szCs w:val="21"/>
        </w:rPr>
        <w:t xml:space="preserve">LAAD, FIA, incentive compensation, mobile/iPad delivery, Managed Care Workbook, production cutover and long-term managed services beyond initial handover.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Non-IQVIA data: </w:t>
      </w:r>
      <w:r>
        <w:rPr>
          <w:rFonts w:ascii="Calibri" w:cs="Calibri" w:eastAsia="Calibri" w:hAnsi="Calibri"/>
          <w:sz w:val="21"/>
          <w:szCs w:val="21"/>
        </w:rPr>
        <w:t xml:space="preserve">The only non-IQVIA dataset is the Meridian Veeva CRM extract. Prescription data is joined to CRM at HCP level.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 Prescription Data Rules (DDD/DDDMD and XPO/XPT)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DDD/DDDMD: </w:t>
      </w:r>
      <w:r>
        <w:rPr>
          <w:rFonts w:ascii="Calibri" w:cs="Calibri" w:eastAsia="Calibri" w:hAnsi="Calibri"/>
          <w:sz w:val="21"/>
          <w:szCs w:val="21"/>
        </w:rPr>
        <w:t xml:space="preserve">reported with client-maintained factoring, refreshed quarterly (time-based, not one-time); both dollars and units reported; purchased at standard product level (NOT NDC level).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XPO/XPT: </w:t>
      </w:r>
      <w:r>
        <w:rPr>
          <w:rFonts w:ascii="Calibri" w:cs="Calibri" w:eastAsia="Calibri" w:hAnsi="Calibri"/>
          <w:sz w:val="21"/>
          <w:szCs w:val="21"/>
        </w:rPr>
        <w:t xml:space="preserve">reported as TRx / NRx (not TQTY/NQTY); no additional factoring applied.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Integration: </w:t>
      </w:r>
      <w:r>
        <w:rPr>
          <w:rFonts w:ascii="Calibri" w:cs="Calibri" w:eastAsia="Calibri" w:hAnsi="Calibri"/>
          <w:sz w:val="21"/>
          <w:szCs w:val="21"/>
        </w:rPr>
        <w:t xml:space="preserve">both prescription datasets integrate with OneKey and are joined to Veeva CRM at HCP level.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 CRM Rules (Veeva)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CRM system: Veeva. Calls recorded at HCP level only (not organization/hospital/clinic level).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Only reps make calls (no region or area managers); no out-of-territory call credit; standard call-crediting logic with no splitting or weighting.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Calls AND details are tracked; samples are included; no marketing materials tracked.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CPD, Reach, and Frequency use standard IQVIA definitions.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 Time-on-Territory (TOT) file is maintained and is used to calculate business days.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7. OneKey Rules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OneKey ecosystem delivered via iCADM (not a custom file).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Standard OneKey license, no restricted fields; Authorized Users may see the full standard OneKey dimension set.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OneKey reference data refreshed monthly.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Dimension override order where a provider dimension is absent in OneKey: OneKey → XPT → CRM.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8. IQVIA Internal (Delivery Prep)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Data delivered to IQVIA via Flat File format (not WxDM).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Source of data: client-provided via sFTP; not routed through IDP and not a factor feed (so no IDP-team format alignment required).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NDC-level data for DDD/DDDMD: No — standard product level; standard layout, outlet master not required.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9. Reporting Requirements (Dashboard Specifications)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Dashboard D-01 — Prescription Performance. </w:t>
      </w:r>
      <w:r>
        <w:rPr>
          <w:rFonts w:ascii="Calibri" w:cs="Calibri" w:eastAsia="Calibri" w:hAnsi="Calibri"/>
          <w:sz w:val="21"/>
          <w:szCs w:val="21"/>
        </w:rPr>
        <w:t xml:space="preserve">Purpose: track prescription performance across the Meridian portfolio by geography and product. Datasets: DDD/DDDMD, XPO/XPT. Business questions: How are TRx/NRx trending by territory and product? What are factored $ and unit volumes by period? Metrics + logic: TRx and NRx (from XPO/XPT, standard IQVIA definitions); factored dollars and units = raw DDD metric × client-maintained factor for the current quarter. Constraints: standard IQVIA metric definitions; monthly data only. Alert / Delivery channel: Power BI Service, monthly refresh, email-subscription delivery to the Meridian commercial distribution list.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Dashboard D-02 — Field Activity vs Prescriptions. </w:t>
      </w:r>
      <w:r>
        <w:rPr>
          <w:rFonts w:ascii="Calibri" w:cs="Calibri" w:eastAsia="Calibri" w:hAnsi="Calibri"/>
          <w:sz w:val="21"/>
          <w:szCs w:val="21"/>
        </w:rPr>
        <w:t xml:space="preserve">Purpose: view field activity alongside prescription performance at HCP level. Datasets: Veeva CRM, DDD/DDDMD, XPO/XPT. Business questions: What is call/detail activity by rep and territory? How does activity relate to prescription performance descriptively? Metrics + logic: Calls and Details counts; CPD, Reach, Frequency (standard IQVIA definitions); business days derived from the TOT file. Constraints: CRM-to-prescription (Rx) alignment is descriptive only, not causal, per the TPA; HCP-level only. Alert / Delivery channel: Power BI Service, monthly refresh; no proactive alerts configured.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10. Deliverables, SLAs &amp; Acceptance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Deliverables: Power BI dashboard suite (D-01, D-02); business-rule specification; data-quality validation results; refresh runbook.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SLA: pipeline success rate ≥ 95% over a rolling 7 days; data latency ≤ 24 hours in non-production.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Acceptance: dashboards operational against agreed business rules; validation on record counts, referential integrity, and business-rule checks.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11. Governance, Dependencies &amp; Change Control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Cadence: weekly status syncs; monthly milestone reviews; decisions tracked in Jira.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Dependencies: Meridian provides Veeva CRM extracts, the quarterly factor file, and the Geo Alignment and Product Mapping files; OneKey share approved for non-production.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sz w:val="21"/>
          <w:szCs w:val="21"/>
        </w:rPr>
        <w:t xml:space="preserve">Change control: scope changes require a formal change request with sponsor approval. Fees milestone-based; invoices net 30 days.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12. Data Privacy &amp; Compliance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Processing complies with GDPR, HIPAA, and CCPA; AMA obligations apply to U.S. prescriber-level data; OneKey opt-outs and compliance attributes are honored. Data-license terms are governed by the Third Party Limited License Agreement (TPA).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2026-09-17T10:42:24.137Z</dcterms:created>
  <dcterms:modified xsi:type="dcterms:W3CDTF">2026-09-17T10:42:24.144Z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