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THIRD PARTY LIMITED LICENSE AGREEMENT (TPA)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Between Meridian Therapeutics and [Third Party Vendor Legal Name] (Complete Test Copy)</w:t>
      </w:r>
    </w:p>
    <w:p>
      <w:pPr>
        <w:spacing w:after="8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Definitions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“IQVIA Data”: proprietary datasets licensed by IQVIA, including OneKey HCP/HCO reference data and derivative datasets provided under Client's license.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“Authorized Users”: named Vendor personnel approved by Client to access IQVIA Data solely for the Project.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“Project”: Project COMPASS — Commercial Analytics &amp; Field Reporting.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Grant of Limited License and Use Restrictions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License. </w:t>
      </w:r>
      <w:r>
        <w:rPr>
          <w:rFonts w:ascii="Calibri" w:cs="Calibri" w:eastAsia="Calibri" w:hAnsi="Calibri"/>
          <w:sz w:val="21"/>
          <w:szCs w:val="21"/>
        </w:rPr>
        <w:t xml:space="preserve">Client grants Vendor a non-exclusive, non-transferable, revocable, limited license to access and use IQVIA Data solely to perform services under the Project.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Permitted Use. </w:t>
      </w:r>
      <w:r>
        <w:rPr>
          <w:rFonts w:ascii="Calibri" w:cs="Calibri" w:eastAsia="Calibri" w:hAnsi="Calibri"/>
          <w:sz w:val="21"/>
          <w:szCs w:val="21"/>
        </w:rPr>
        <w:t xml:space="preserve">Vendor shall use IQVIA Data only for analytic processing, integration, and outputs expressly approved by Client. No production redistribution or use beyond Project scope is permitted.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Prohibited Activities. </w:t>
      </w:r>
      <w:r>
        <w:rPr>
          <w:rFonts w:ascii="Calibri" w:cs="Calibri" w:eastAsia="Calibri" w:hAnsi="Calibri"/>
          <w:sz w:val="21"/>
          <w:szCs w:val="21"/>
        </w:rPr>
        <w:t xml:space="preserve">Vendor shall not (a) disclose IQVIA Data to any unauthorized party; (b) create generalized data products or reference files; (c) reverse engineer de-identification; (d) remove or obscure notices; or (e) combine IQVIA Data with other sources to create a substitute for IQVIA products.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Access Limitation. </w:t>
      </w:r>
      <w:r>
        <w:rPr>
          <w:rFonts w:ascii="Calibri" w:cs="Calibri" w:eastAsia="Calibri" w:hAnsi="Calibri"/>
          <w:sz w:val="21"/>
          <w:szCs w:val="21"/>
        </w:rPr>
        <w:t xml:space="preserve">Access must be restricted to Authorized Users under least-privilege principles with auditable controls.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Authorized Users and Access Controls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Maintain a current roster of Authorized Users; remove access promptly on role change or termination.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Store IQVIA Data in secure environments with encryption at rest and in transit; enforce MFA and network segregation.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Implement monitoring and logs for data access, export, and transformation; retain logs for not less than 12 months.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OneKey License Scope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OneKey delivered via iCADM under the standard license with no restricted fields; Authorized Users may see the full standard OneKey dimension set.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Data Privacy and Compliance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Regulatory Compliance. </w:t>
      </w:r>
      <w:r>
        <w:rPr>
          <w:rFonts w:ascii="Calibri" w:cs="Calibri" w:eastAsia="Calibri" w:hAnsi="Calibri"/>
          <w:sz w:val="21"/>
          <w:szCs w:val="21"/>
        </w:rPr>
        <w:t xml:space="preserve">Vendor will process data in accordance with GDPR, HIPAA, and CCPA.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AMA Data. </w:t>
      </w:r>
      <w:r>
        <w:rPr>
          <w:rFonts w:ascii="Calibri" w:cs="Calibri" w:eastAsia="Calibri" w:hAnsi="Calibri"/>
          <w:sz w:val="21"/>
          <w:szCs w:val="21"/>
        </w:rPr>
        <w:t xml:space="preserve">Where U.S. prescriber-level data implicates AMA requirements, Vendor will comply with AMA terms and fees as instructed by Client.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Data Subject Rights. </w:t>
      </w:r>
      <w:r>
        <w:rPr>
          <w:rFonts w:ascii="Calibri" w:cs="Calibri" w:eastAsia="Calibri" w:hAnsi="Calibri"/>
          <w:sz w:val="21"/>
          <w:szCs w:val="21"/>
        </w:rPr>
        <w:t xml:space="preserve">Support Client in honoring opt-outs, corrections, and preferences embedded in IQVIA Data.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Security Requirements and Incident Response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Maintain controls aligned to industry standards (e.g., ISO 27001 and/or SOC 2 Type II).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Perform periodic access reviews; remediate exceptions within agreed timelines.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Notify Client within 24 hours of any suspected unauthorized access, misuse, or breach; cooperate in investigation and remediation.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Return or Destruction of Data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Upon Project completion or termination, Vendor shall cease all use of IQVIA Data and, within 30 days, return or destroy all copies, including backups.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Provide a certificate of destruction acceptable to Client; retain no residual data except anonymized operational metrics.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Subcontracting, Intellectual Property, Fees, Term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No subcontractor may access IQVIA Data without prior written consent and execution of flow-down obligations; Vendor remains responsible for subcontractor acts.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IQVIA retains all right, title, and interest in IQVIA Data; Client owns Work Product excluding IQVIA Data.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Invoices payable net 30 days. Term runs until Project completion or termination; 15-day cure for material breach.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Governing law: State of California.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Exhibit B — Data Sets and Environments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Data Sets: OneKey HCP/HCO; DDD/DDDMD; XPO/XPT; Meridian Veeva CRM extract.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Environments: Reporting non-prod; demo tenant.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Controls: Encryption, MFA, network segmentation, secure export protocols (S3/SFTP).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2026-09-17T10:42:24.149Z</dcterms:created>
  <dcterms:modified xsi:type="dcterms:W3CDTF">2026-09-17T10:42:24.149Z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