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aps/>
          <w:color w:val="0E8A86"/>
          <w:spacing w:val="40"/>
          <w:sz w:val="19"/>
          <w:szCs w:val="19"/>
        </w:rPr>
        <w:t xml:space="preserve">Business Analysis  |  User Instructions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202B"/>
          <w:sz w:val="56"/>
          <w:szCs w:val="56"/>
        </w:rPr>
        <w:t xml:space="preserve">Using the BRD Agent</w:t>
      </w:r>
    </w:p>
    <w:p>
      <w:pPr>
        <w:spacing w:after="60" w:line="276"/>
      </w:pPr>
      <w:r>
        <w:rPr>
          <w:rFonts w:ascii="Calibri" w:cs="Calibri" w:eastAsia="Calibri" w:hAnsi="Calibri"/>
          <w:color w:val="6A7885"/>
          <w:sz w:val="24"/>
          <w:szCs w:val="24"/>
        </w:rPr>
        <w:t xml:space="preserve">A quick guide to preparing your inputs, running a guided discovery, and getting your Business Requirements Document.</w:t>
      </w:r>
    </w:p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6240"/>
      </w:tblGrid>
      <w:tr>
        <w:trPr>
          <w:trHeight w:val="1150" w:hRule="atLeast"/>
        </w:trPr>
        <w:tc>
          <w:tcPr>
            <w:tcW w:type="dxa" w:w="3120"/>
            <w:shd w:fill="0E8A86" w:color="auto" w:val="clear"/>
          </w:tcPr>
          <w:p>
            <w:r>
              <w:rPr>
                <w:sz w:val="8"/>
                <w:szCs w:val="8"/>
              </w:rPr>
              <w:t xml:space="preserve"> </w:t>
            </w:r>
          </w:p>
        </w:tc>
        <w:tc>
          <w:tcPr>
            <w:tcW w:type="dxa" w:w="6240"/>
            <w:tcMar>
              <w:top w:type="dxa" w:w="60"/>
              <w:left w:type="dxa" w:w="220"/>
              <w:bottom w:type="dxa" w:w="6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Purpose of this document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23303B"/>
                <w:sz w:val="20"/>
                <w:szCs w:val="20"/>
              </w:rPr>
              <w:t xml:space="preserve">To help you use the BRD Agent effectively — what to have ready before you begin, how a session flows, and how to get a clean, audit-ready BRD.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6A7885"/>
                <w:spacing w:val="20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3303B"/>
                <w:sz w:val="21"/>
                <w:szCs w:val="21"/>
              </w:rPr>
              <w:t xml:space="preserve">User instructions</w:t>
            </w:r>
          </w:p>
        </w:tc>
      </w:tr>
      <w:tr>
        <w:tc>
          <w:tcPr>
            <w:tcW w:type="dxa" w:w="27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6A7885"/>
                <w:spacing w:val="20"/>
                <w:sz w:val="17"/>
                <w:szCs w:val="17"/>
              </w:rPr>
              <w:t xml:space="preserve">Status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3303B"/>
                <w:sz w:val="21"/>
                <w:szCs w:val="21"/>
              </w:rPr>
              <w:t xml:space="preserve">Pilot</w:t>
            </w:r>
          </w:p>
        </w:tc>
      </w:tr>
      <w:tr>
        <w:tc>
          <w:tcPr>
            <w:tcW w:type="dxa" w:w="27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6A7885"/>
                <w:spacing w:val="20"/>
                <w:sz w:val="17"/>
                <w:szCs w:val="17"/>
              </w:rPr>
              <w:t xml:space="preserve">Audience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3303B"/>
                <w:sz w:val="21"/>
                <w:szCs w:val="21"/>
              </w:rPr>
              <w:t xml:space="preserve">End users</w:t>
            </w:r>
          </w:p>
        </w:tc>
      </w:tr>
      <w:tr>
        <w:tc>
          <w:tcPr>
            <w:tcW w:type="dxa" w:w="27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/>
                <w:color w:val="6A7885"/>
                <w:spacing w:val="20"/>
                <w:sz w:val="17"/>
                <w:szCs w:val="17"/>
              </w:rPr>
              <w:t xml:space="preserve">Applies to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20"/>
              <w:bottom w:type="dxa" w:w="7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23303B"/>
                <w:sz w:val="21"/>
                <w:szCs w:val="21"/>
              </w:rPr>
              <w:t xml:space="preserve">BRD Agent, Version 1.1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0E8A86"/>
          <w:sz w:val="30"/>
          <w:szCs w:val="30"/>
        </w:rPr>
        <w:t xml:space="preserve">1. </w:t>
      </w:r>
      <w:r>
        <w:rPr>
          <w:rFonts w:ascii="Calibri" w:cs="Calibri" w:eastAsia="Calibri" w:hAnsi="Calibri"/>
          <w:b/>
          <w:bCs/>
          <w:color w:val="14202B"/>
          <w:sz w:val="30"/>
          <w:szCs w:val="30"/>
        </w:rPr>
        <w:t xml:space="preserve">Before you start</w:t>
      </w:r>
    </w:p>
    <w:p>
      <w:pPr>
        <w:spacing w:after="120" w:line="274"/>
      </w:pPr>
      <w:r>
        <w:rPr>
          <w:rFonts w:ascii="Calibri" w:cs="Calibri" w:eastAsia="Calibri" w:hAnsi="Calibri"/>
          <w:color w:val="23303B"/>
          <w:sz w:val="21"/>
          <w:szCs w:val="21"/>
        </w:rPr>
        <w:t xml:space="preserve">The agent grounds itself only in what you provide. Have these ready before you begin.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6240"/>
      </w:tblGrid>
      <w:tr>
        <w:trPr>
          <w:trHeight w:val="1150" w:hRule="atLeast"/>
        </w:trPr>
        <w:tc>
          <w:tcPr>
            <w:tcW w:type="dxa" w:w="3120"/>
            <w:shd w:fill="2F6FB0" w:color="auto" w:val="clear"/>
          </w:tcPr>
          <w:p>
            <w:r>
              <w:rPr>
                <w:sz w:val="8"/>
                <w:szCs w:val="8"/>
              </w:rPr>
              <w:t xml:space="preserve"> </w:t>
            </w:r>
          </w:p>
        </w:tc>
        <w:tc>
          <w:tcPr>
            <w:tcW w:type="dxa" w:w="6240"/>
            <w:tcMar>
              <w:top w:type="dxa" w:w="60"/>
              <w:left w:type="dxa" w:w="220"/>
              <w:bottom w:type="dxa" w:w="6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What to prepare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23303B"/>
                <w:sz w:val="20"/>
                <w:szCs w:val="20"/>
              </w:rPr>
              <w:t xml:space="preserve">Your Statement of Work (SOW), your Third-Party Agreement (TPA), and any call notes or transcripts (.txt / .docx).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Statement of Work (SOW)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scope, deliverables, inclusions and exclusions.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Third-Party Agreement (TPA)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data use, access and compliance.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Call notes / transcripts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decisions, owners and dates.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Know your offering and datasets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FlexView, PowerBI, WhizAI or Other, and which datasets are in scope.</w:t>
      </w:r>
    </w:p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6240"/>
      </w:tblGrid>
      <w:tr>
        <w:trPr>
          <w:trHeight w:val="1150" w:hRule="atLeast"/>
        </w:trPr>
        <w:tc>
          <w:tcPr>
            <w:tcW w:type="dxa" w:w="3120"/>
            <w:shd w:fill="E0900F" w:color="auto" w:val="clear"/>
          </w:tcPr>
          <w:p>
            <w:r>
              <w:rPr>
                <w:sz w:val="8"/>
                <w:szCs w:val="8"/>
              </w:rPr>
              <w:t xml:space="preserve"> </w:t>
            </w:r>
          </w:p>
        </w:tc>
        <w:tc>
          <w:tcPr>
            <w:tcW w:type="dxa" w:w="6240"/>
            <w:tcMar>
              <w:top w:type="dxa" w:w="60"/>
              <w:left w:type="dxa" w:w="220"/>
              <w:bottom w:type="dxa" w:w="6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Good to know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23303B"/>
                <w:sz w:val="20"/>
                <w:szCs w:val="20"/>
              </w:rPr>
              <w:t xml:space="preserve">Missing information is never a blocker. Anything unknown is captured as </w:t>
            </w:r>
            <w:r>
              <w:rPr>
                <w:rFonts w:ascii="Calibri" w:cs="Calibri" w:eastAsia="Calibri" w:hAnsi="Calibri"/>
                <w:b/>
                <w:bCs/>
                <w:color w:val="23303B"/>
                <w:sz w:val="20"/>
                <w:szCs w:val="20"/>
              </w:rPr>
              <w:t xml:space="preserve">[TBD – User Confirmation Required]</w:t>
            </w:r>
            <w:r>
              <w:rPr>
                <w:rFonts w:ascii="Calibri" w:cs="Calibri" w:eastAsia="Calibri" w:hAnsi="Calibri"/>
                <w:color w:val="23303B"/>
                <w:sz w:val="20"/>
                <w:szCs w:val="20"/>
              </w:rPr>
              <w:t xml:space="preserve"> and you can confirm it later.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E8A86"/>
          <w:sz w:val="30"/>
          <w:szCs w:val="30"/>
        </w:rPr>
        <w:t xml:space="preserve">2. </w:t>
      </w:r>
      <w:r>
        <w:rPr>
          <w:rFonts w:ascii="Calibri" w:cs="Calibri" w:eastAsia="Calibri" w:hAnsi="Calibri"/>
          <w:b/>
          <w:bCs/>
          <w:color w:val="14202B"/>
          <w:sz w:val="30"/>
          <w:szCs w:val="30"/>
        </w:rPr>
        <w:t xml:space="preserve">How a session flows</w:t>
      </w:r>
    </w:p>
    <w:p>
      <w:pPr>
        <w:spacing w:after="140" w:line="274"/>
      </w:pPr>
      <w:r>
        <w:rPr>
          <w:rFonts w:ascii="Calibri" w:cs="Calibri" w:eastAsia="Calibri" w:hAnsi="Calibri"/>
          <w:color w:val="23303B"/>
          <w:sz w:val="21"/>
          <w:szCs w:val="21"/>
        </w:rPr>
        <w:t xml:space="preserve">The agent runs a fixed sequence. Two hard gates set the structure and the questions before the BRD is built.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2F6FB0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Orientation</w:t>
            </w: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The agent explains how it works and asks you to share your documents.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2F6FB0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Business context</w:t>
            </w: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Objectives, markets, cadence, data size, alignment, CRM / non-IQVIA data.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E0900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Offering selection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E0900F" w:color="auto" w:val="clear"/>
              </w:rPr>
              <w:t xml:space="preserve"> HARD GATE 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Choose FlexView, PowerBI, WhizAI or Other. This sets the locked document layout.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E0900F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4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Dataset selection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  <w:shd w:fill="E0900F" w:color="auto" w:val="clear"/>
              </w:rPr>
              <w:t xml:space="preserve"> HARD GATE 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Choose the datasets in scope. This decides which questions you are asked.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2F6FB0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5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Dataset questions</w:t>
            </w: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Answer the questions for your selected datasets — one at a time.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2F6FB0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6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Business rules</w:t>
            </w: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Confirm the business rules and KPI logic in plain, client-ready language.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2F6FB0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7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Dashboards</w:t>
            </w: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Describe each dashboard: purpose, datasets, metrics, constraints and delivery.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2F6FB0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8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Validation &amp; approval</w:t>
            </w: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Review the summary and approve — nothing is generated before you do.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0"/>
        <w:gridCol w:w="8210"/>
      </w:tblGrid>
      <w:tr>
        <w:trPr>
          <w:trHeight w:val="620" w:hRule="atLeast"/>
        </w:trPr>
        <w:tc>
          <w:tcPr>
            <w:tcW w:type="dxa" w:w="1150"/>
            <w:shd w:fill="0E8A86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✓</w:t>
            </w:r>
          </w:p>
        </w:tc>
        <w:tc>
          <w:tcPr>
            <w:tcW w:type="dxa" w:w="8210"/>
            <w:tcMar>
              <w:top w:type="dxa" w:w="50"/>
              <w:left w:type="dxa" w:w="200"/>
              <w:bottom w:type="dxa" w:w="50"/>
              <w:right w:type="dxa" w:w="6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Your BRD</w:t>
            </w: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6A7885"/>
                <w:sz w:val="19"/>
                <w:szCs w:val="19"/>
              </w:rPr>
              <w:t xml:space="preserve">One consolidated Business Requirements Document, in the offering's locked structure.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E8A86"/>
          <w:sz w:val="30"/>
          <w:szCs w:val="30"/>
        </w:rPr>
        <w:t xml:space="preserve">3. </w:t>
      </w:r>
      <w:r>
        <w:rPr>
          <w:rFonts w:ascii="Calibri" w:cs="Calibri" w:eastAsia="Calibri" w:hAnsi="Calibri"/>
          <w:b/>
          <w:bCs/>
          <w:color w:val="14202B"/>
          <w:sz w:val="30"/>
          <w:szCs w:val="30"/>
        </w:rPr>
        <w:t xml:space="preserve">What to expect</w:t>
      </w:r>
    </w:p>
    <w:p>
      <w:pPr>
        <w:spacing w:after="140" w:line="274"/>
      </w:pPr>
      <w:r>
        <w:rPr>
          <w:rFonts w:ascii="Calibri" w:cs="Calibri" w:eastAsia="Calibri" w:hAnsi="Calibri"/>
          <w:color w:val="23303B"/>
          <w:sz w:val="21"/>
          <w:szCs w:val="21"/>
        </w:rPr>
        <w:t xml:space="preserve">As you go, the agent classifies each request so nothing unsupported slips into the BRD.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9E0E6" w:sz="4"/>
          <w:insideV w:val="none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10161D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060"/>
            <w:shd w:fill="10161D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agent does</w:t>
            </w:r>
          </w:p>
        </w:tc>
      </w:tr>
      <w:tr>
        <w:tc>
          <w:tcPr>
            <w:tcW w:type="dxa" w:w="43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Something is outside the contracted scope</w:t>
            </w:r>
          </w:p>
        </w:tc>
        <w:tc>
          <w:tcPr>
            <w:tcW w:type="dxa" w:w="50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Records it as Out of Scope — noted, not turned into a requirement.</w:t>
            </w:r>
          </w:p>
        </w:tc>
      </w:tr>
      <w:tr>
        <w:tc>
          <w:tcPr>
            <w:tcW w:type="dxa" w:w="43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A request conflicts with the SOW or TPA</w:t>
            </w:r>
          </w:p>
        </w:tc>
        <w:tc>
          <w:tcPr>
            <w:tcW w:type="dxa" w:w="50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Flags it as Requires Contract Clarification, with the decision owner.</w:t>
            </w:r>
          </w:p>
        </w:tc>
      </w:tr>
      <w:tr>
        <w:tc>
          <w:tcPr>
            <w:tcW w:type="dxa" w:w="43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Information is not yet known</w:t>
            </w:r>
          </w:p>
        </w:tc>
        <w:tc>
          <w:tcPr>
            <w:tcW w:type="dxa" w:w="50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Marks it [TBD – User Confirmation Required] and continues.</w:t>
            </w:r>
          </w:p>
        </w:tc>
      </w:tr>
      <w:tr>
        <w:tc>
          <w:tcPr>
            <w:tcW w:type="dxa" w:w="430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A request is supported and permitted</w:t>
            </w:r>
          </w:p>
        </w:tc>
        <w:tc>
          <w:tcPr>
            <w:tcW w:type="dxa" w:w="5060"/>
            <w:tcBorders>
              <w:top w:val="none"/>
              <w:left w:val="none"/>
              <w:bottom w:val="single" w:color="D9E0E6" w:sz="4"/>
              <w:right w:val="none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3303B"/>
                <w:sz w:val="19"/>
                <w:szCs w:val="19"/>
              </w:rPr>
              <w:t xml:space="preserve">Captures it as a requirement with its source and rationale.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6240"/>
      </w:tblGrid>
      <w:tr>
        <w:trPr>
          <w:trHeight w:val="1150" w:hRule="atLeast"/>
        </w:trPr>
        <w:tc>
          <w:tcPr>
            <w:tcW w:type="dxa" w:w="3120"/>
            <w:shd w:fill="0E8A86" w:color="auto" w:val="clear"/>
          </w:tcPr>
          <w:p>
            <w:r>
              <w:rPr>
                <w:sz w:val="8"/>
                <w:szCs w:val="8"/>
              </w:rPr>
              <w:t xml:space="preserve"> </w:t>
            </w:r>
          </w:p>
        </w:tc>
        <w:tc>
          <w:tcPr>
            <w:tcW w:type="dxa" w:w="6240"/>
            <w:tcMar>
              <w:top w:type="dxa" w:w="60"/>
              <w:left w:type="dxa" w:w="220"/>
              <w:bottom w:type="dxa" w:w="6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Your output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23303B"/>
                <w:sz w:val="20"/>
                <w:szCs w:val="20"/>
              </w:rPr>
              <w:t xml:space="preserve">The BRD is delivered as a Microsoft Word document — or, while file generation is being enabled, as on-screen text you copy into Word and apply the IQVIA template.</w:t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0E8A86"/>
          <w:sz w:val="30"/>
          <w:szCs w:val="30"/>
        </w:rPr>
        <w:t xml:space="preserve">4. </w:t>
      </w:r>
      <w:r>
        <w:rPr>
          <w:rFonts w:ascii="Calibri" w:cs="Calibri" w:eastAsia="Calibri" w:hAnsi="Calibri"/>
          <w:b/>
          <w:bCs/>
          <w:color w:val="14202B"/>
          <w:sz w:val="30"/>
          <w:szCs w:val="30"/>
        </w:rPr>
        <w:t xml:space="preserve">Tips for a clean BRD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Share the SOW and TPA first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the agent is only as strong as its inputs.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Use TBD freely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don't stall on unknowns; confirm them later.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Take one question at a time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each explains why it matters before you answer.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Reconcile later notes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feed in new meeting notes and ask it to “reconcile notes” to update the BRD.</w:t>
      </w:r>
    </w:p>
    <w:p>
      <w:pPr>
        <w:pStyle w:val="ListParagraph"/>
        <w:numPr>
          <w:ilvl w:val="0"/>
          <w:numId w:val="1"/>
        </w:numPr>
        <w:spacing w:after="70" w:line="272"/>
      </w:pPr>
      <w:r>
        <w:rPr>
          <w:rFonts w:ascii="Calibri" w:cs="Calibri" w:eastAsia="Calibri" w:hAnsi="Calibri"/>
          <w:b/>
          <w:bCs/>
          <w:color w:val="23303B"/>
          <w:sz w:val="21"/>
          <w:szCs w:val="21"/>
        </w:rPr>
        <w:t xml:space="preserve">Always review and sign off — </w:t>
      </w:r>
      <w:r>
        <w:rPr>
          <w:rFonts w:ascii="Calibri" w:cs="Calibri" w:eastAsia="Calibri" w:hAnsi="Calibri"/>
          <w:color w:val="23303B"/>
          <w:sz w:val="21"/>
          <w:szCs w:val="21"/>
        </w:rPr>
        <w:t xml:space="preserve">the agent drafts; you own the final BRD.</w:t>
      </w:r>
    </w:p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6240"/>
      </w:tblGrid>
      <w:tr>
        <w:trPr>
          <w:trHeight w:val="1150" w:hRule="atLeast"/>
        </w:trPr>
        <w:tc>
          <w:tcPr>
            <w:tcW w:type="dxa" w:w="3120"/>
            <w:shd w:fill="E0900F" w:color="auto" w:val="clear"/>
          </w:tcPr>
          <w:p>
            <w:r>
              <w:rPr>
                <w:sz w:val="8"/>
                <w:szCs w:val="8"/>
              </w:rPr>
              <w:t xml:space="preserve"> </w:t>
            </w:r>
          </w:p>
        </w:tc>
        <w:tc>
          <w:tcPr>
            <w:tcW w:type="dxa" w:w="6240"/>
            <w:tcMar>
              <w:top w:type="dxa" w:w="60"/>
              <w:left w:type="dxa" w:w="220"/>
              <w:bottom w:type="dxa" w:w="6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02B"/>
                <w:sz w:val="22"/>
                <w:szCs w:val="22"/>
              </w:rPr>
              <w:t xml:space="preserve">What it will not do</w:t>
            </w:r>
          </w:p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23303B"/>
                <w:sz w:val="20"/>
                <w:szCs w:val="20"/>
              </w:rPr>
              <w:t xml:space="preserve">It will not invent requirements, override the SOW or TPA, use sources you didn't provide, or produce formats other than Word.</w:t>
            </w:r>
          </w:p>
        </w:tc>
      </w:tr>
    </w:tbl>
    <w:sectPr>
      <w:footerReference w:type="default" r:id="rId7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6" w:sz="4" w:space="8"/>
      </w:pBdr>
      <w:spacing w:before="0"/>
      <w:jc w:val="center"/>
    </w:pPr>
    <w:r>
      <w:rPr>
        <w:rFonts w:ascii="Calibri" w:cs="Calibri" w:eastAsia="Calibri" w:hAnsi="Calibri"/>
        <w:color w:val="6A7885"/>
        <w:sz w:val="16"/>
        <w:szCs w:val="16"/>
      </w:rPr>
      <w:t xml:space="preserve">Business Analysis Working Collateral     |     </w:t>
    </w:r>
    <w:r>
      <w:rPr>
        <w:rFonts w:ascii="Calibri" w:cs="Calibri" w:eastAsia="Calibri" w:hAnsi="Calibri"/>
        <w:color w:val="6A78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30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2026-09-29T11:52:32.904Z</dcterms:created>
  <dcterms:modified xsi:type="dcterms:W3CDTF">2026-09-29T11:52:32.914Z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