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0F7A7A"/>
          <w:spacing w:val="30"/>
          <w:sz w:val="19"/>
          <w:szCs w:val="19"/>
        </w:rPr>
        <w:t xml:space="preserve">User guide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60"/>
          <w:szCs w:val="60"/>
        </w:rPr>
        <w:t xml:space="preserve">BRD Agent</w:t>
      </w:r>
    </w:p>
    <w:p>
      <w:pPr>
        <w:pBdr>
          <w:bottom w:val="single" w:color="0F7A7A" w:sz="18" w:space="8"/>
        </w:pBdr>
        <w:spacing w:after="60"/>
      </w:pPr>
      <w:r>
        <w:rPr>
          <w:rFonts w:ascii="Calibri" w:cs="Calibri" w:eastAsia="Calibri" w:hAnsi="Calibri"/>
          <w:color w:val="0F7A7A"/>
          <w:sz w:val="28"/>
          <w:szCs w:val="28"/>
        </w:rPr>
        <w:t xml:space="preserve">Version 1.1</w:t>
      </w:r>
    </w:p>
    <w:p>
      <w:pPr>
        <w:spacing w:after="120"/>
      </w:pPr>
    </w:p>
    <w:tbl>
      <w:tblPr>
        <w:tblW w:type="dxa" w:w="9360"/>
        <w:tblBorders>
          <w:top w:val="single" w:color="D6DEE6" w:sz="4"/>
          <w:left w:val="single" w:color="D6DEE6" w:sz="4"/>
          <w:bottom w:val="single" w:color="D6DEE6" w:sz="4"/>
          <w:right w:val="single" w:color="D6DEE6" w:sz="4"/>
          <w:insideH w:val="single" w:color="D6DEE6" w:sz="4"/>
          <w:insideV w:val="single" w:color="D6DEE6" w:sz="4"/>
        </w:tblBorders>
      </w:tblPr>
      <w:tblGrid>
        <w:gridCol w:w="2600"/>
        <w:gridCol w:w="6760"/>
      </w:tblGrid>
      <w:tr>
        <w:tc>
          <w:tcPr>
            <w:tcW w:type="dxa" w:w="2600"/>
            <w:shd w:fill="F5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Agent name</w:t>
            </w:r>
          </w:p>
        </w:tc>
        <w:tc>
          <w:tcPr>
            <w:tcW w:type="dxa" w:w="676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33"/>
                <w:sz w:val="20"/>
                <w:szCs w:val="20"/>
              </w:rPr>
              <w:t xml:space="preserve">BRD Agent   </w:t>
            </w:r>
            <w:r>
              <w:rPr>
                <w:rFonts w:ascii="Calibri" w:cs="Calibri" w:eastAsia="Calibri" w:hAnsi="Calibri"/>
                <w:i/>
                <w:iCs/>
                <w:color w:val="5A6B7B"/>
                <w:sz w:val="20"/>
                <w:szCs w:val="20"/>
              </w:rPr>
              <w:t xml:space="preserve">[confirm published tile name]</w:t>
            </w:r>
          </w:p>
        </w:tc>
      </w:tr>
      <w:tr>
        <w:tc>
          <w:tcPr>
            <w:tcW w:type="dxa" w:w="2600"/>
            <w:shd w:fill="F5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Platform</w:t>
            </w:r>
          </w:p>
        </w:tc>
        <w:tc>
          <w:tcPr>
            <w:tcW w:type="dxa" w:w="676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33"/>
                <w:sz w:val="20"/>
                <w:szCs w:val="20"/>
              </w:rPr>
              <w:t xml:space="preserve">Microsoft Copilot Studio</w:t>
            </w:r>
          </w:p>
        </w:tc>
      </w:tr>
      <w:tr>
        <w:tc>
          <w:tcPr>
            <w:tcW w:type="dxa" w:w="2600"/>
            <w:shd w:fill="F5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Audience</w:t>
            </w:r>
          </w:p>
        </w:tc>
        <w:tc>
          <w:tcPr>
            <w:tcW w:type="dxa" w:w="676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33"/>
                <w:sz w:val="20"/>
                <w:szCs w:val="20"/>
              </w:rPr>
              <w:t xml:space="preserve">End users</w:t>
            </w:r>
          </w:p>
        </w:tc>
      </w:tr>
      <w:tr>
        <w:tc>
          <w:tcPr>
            <w:tcW w:type="dxa" w:w="2600"/>
            <w:shd w:fill="F5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33"/>
                <w:sz w:val="20"/>
                <w:szCs w:val="20"/>
              </w:rPr>
              <w:t xml:space="preserve">Pilot</w:t>
            </w:r>
          </w:p>
        </w:tc>
      </w:tr>
      <w:tr>
        <w:tc>
          <w:tcPr>
            <w:tcW w:type="dxa" w:w="2600"/>
            <w:shd w:fill="F5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Owner</w:t>
            </w:r>
          </w:p>
        </w:tc>
        <w:tc>
          <w:tcPr>
            <w:tcW w:type="dxa" w:w="676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A6B7B"/>
                <w:sz w:val="20"/>
                <w:szCs w:val="20"/>
              </w:rPr>
              <w:t xml:space="preserve">__________________________  </w:t>
            </w:r>
            <w:r>
              <w:rPr>
                <w:rFonts w:ascii="Calibri" w:cs="Calibri" w:eastAsia="Calibri" w:hAnsi="Calibri"/>
                <w:i/>
                <w:iCs/>
                <w:color w:val="5A6B7B"/>
                <w:sz w:val="20"/>
                <w:szCs w:val="20"/>
              </w:rPr>
              <w:t xml:space="preserve">(to be filled)</w:t>
            </w:r>
          </w:p>
        </w:tc>
      </w:tr>
      <w:tr>
        <w:tc>
          <w:tcPr>
            <w:tcW w:type="dxa" w:w="2600"/>
            <w:shd w:fill="F5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33"/>
                <w:sz w:val="20"/>
                <w:szCs w:val="20"/>
              </w:rPr>
              <w:t xml:space="preserve">1.1</w:t>
            </w:r>
          </w:p>
        </w:tc>
      </w:tr>
    </w:tbl>
    <w:p>
      <w:pPr>
        <w:pBdr>
          <w:bottom w:val="single" w:color="1F3A5F" w:sz="14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0F7A7A"/>
          <w:sz w:val="30"/>
          <w:szCs w:val="30"/>
        </w:rPr>
        <w:t xml:space="preserve">1  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Overview &amp; current status</w:t>
      </w:r>
    </w:p>
    <w:p>
      <w:pPr>
        <w:spacing w:after="100" w:line="276"/>
      </w:pPr>
      <w:r>
        <w:rPr>
          <w:rFonts w:ascii="Calibri" w:cs="Calibri" w:eastAsia="Calibri" w:hAnsi="Calibri"/>
          <w:color w:val="1A2733"/>
          <w:sz w:val="21"/>
          <w:szCs w:val="21"/>
        </w:rPr>
        <w:t xml:space="preserve">The BRD Agent is a guided, contract-first assistant that helps you turn engagement documents into a consolidated, audit-ready Business Requirements Document (BRD). It reads your Statement of Work (SOW), Third-Party Agreement (TPA), and meeting notes, runs a structured discovery interview, and assembles a single BRD structured to the selected reporting offering.</w:t>
      </w:r>
    </w:p>
    <w:p>
      <w:pPr>
        <w:spacing w:after="160" w:before="140"/>
        <w:jc w:val="center"/>
      </w:pPr>
      <w:r>
        <w:drawing>
          <wp:inline distT="0" distB="0" distL="0" distR="0">
            <wp:extent cx="59436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7F1F0" w:sz="2"/>
          <w:left w:val="single" w:color="0F7A7A" w:sz="28"/>
          <w:bottom w:val="single" w:color="E7F1F0" w:sz="2"/>
          <w:right w:val="single" w:color="E7F1F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F1F0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Current status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Pilot.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The BRD Agent is available to pilot users and is actively being enhanced. Guided discovery is fully working; automated Word-file generation is being finalised (see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Section 3 — What you get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).</w:t>
            </w:r>
          </w:p>
        </w:tc>
      </w:tr>
    </w:tbl>
    <w:p>
      <w:pPr>
        <w:pBdr>
          <w:bottom w:val="single" w:color="1F3A5F" w:sz="14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0F7A7A"/>
          <w:sz w:val="30"/>
          <w:szCs w:val="30"/>
        </w:rPr>
        <w:t xml:space="preserve">2  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What the agent helps with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Draft a BRD faster —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produce a strong first-draft BRD from a SOW, TPA and call notes.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Run structured discovery —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pick an offering and datasets, then answer a gated set of questions.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Standardise output —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the same offering always produces the same section structure, across authors.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Capture business rules &amp; dashboards —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in a clear, client-ready format, with calculation logic for every metric.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Track open items —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unknowns become tracked TBDs, alongside a decision log and dependencies.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Reconcile follow-ups —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feed in later meeting notes and it updates the existing BRD instead of starting over.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Example prompts</w:t>
      </w:r>
    </w:p>
    <w:tbl>
      <w:tblPr>
        <w:tblW w:type="dxa" w:w="9360"/>
        <w:tblBorders>
          <w:top w:val="single" w:color="F5F8FA" w:sz="2"/>
          <w:left w:val="single" w:color="0F7A7A" w:sz="20"/>
          <w:bottom w:val="single" w:color="F5F8FA" w:sz="2"/>
          <w:right w:val="single" w:color="F5F8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8F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33"/>
                <w:sz w:val="21"/>
                <w:szCs w:val="21"/>
              </w:rPr>
              <w:t xml:space="preserve">“I want to create a BRD.”</w:t>
            </w:r>
          </w:p>
        </w:tc>
      </w:tr>
    </w:tbl>
    <w:tbl>
      <w:tblPr>
        <w:tblW w:type="dxa" w:w="9360"/>
        <w:tblBorders>
          <w:top w:val="single" w:color="F5F8FA" w:sz="2"/>
          <w:left w:val="single" w:color="0F7A7A" w:sz="20"/>
          <w:bottom w:val="single" w:color="F5F8FA" w:sz="2"/>
          <w:right w:val="single" w:color="F5F8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8F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33"/>
                <w:sz w:val="21"/>
                <w:szCs w:val="21"/>
              </w:rPr>
              <w:t xml:space="preserve">“Ground to these files — here are the SOW, TPA and call notes.”</w:t>
            </w:r>
          </w:p>
        </w:tc>
      </w:tr>
    </w:tbl>
    <w:tbl>
      <w:tblPr>
        <w:tblW w:type="dxa" w:w="9360"/>
        <w:tblBorders>
          <w:top w:val="single" w:color="F5F8FA" w:sz="2"/>
          <w:left w:val="single" w:color="0F7A7A" w:sz="20"/>
          <w:bottom w:val="single" w:color="F5F8FA" w:sz="2"/>
          <w:right w:val="single" w:color="F5F8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8F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33"/>
                <w:sz w:val="21"/>
                <w:szCs w:val="21"/>
              </w:rPr>
              <w:t xml:space="preserve">“Offering is Power BI; datasets are DDD/DDDMD, XPO/XPT, CRM and OneKey.”</w:t>
            </w:r>
          </w:p>
        </w:tc>
      </w:tr>
    </w:tbl>
    <w:tbl>
      <w:tblPr>
        <w:tblW w:type="dxa" w:w="9360"/>
        <w:tblBorders>
          <w:top w:val="single" w:color="F5F8FA" w:sz="2"/>
          <w:left w:val="single" w:color="0F7A7A" w:sz="20"/>
          <w:bottom w:val="single" w:color="F5F8FA" w:sz="2"/>
          <w:right w:val="single" w:color="F5F8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8F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33"/>
                <w:sz w:val="21"/>
                <w:szCs w:val="21"/>
              </w:rPr>
              <w:t xml:space="preserve">“I don't know the data volume yet — can we continue?”</w:t>
            </w:r>
          </w:p>
        </w:tc>
      </w:tr>
    </w:tbl>
    <w:tbl>
      <w:tblPr>
        <w:tblW w:type="dxa" w:w="9360"/>
        <w:tblBorders>
          <w:top w:val="single" w:color="F5F8FA" w:sz="2"/>
          <w:left w:val="single" w:color="0F7A7A" w:sz="20"/>
          <w:bottom w:val="single" w:color="F5F8FA" w:sz="2"/>
          <w:right w:val="single" w:color="F5F8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8F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33"/>
                <w:sz w:val="21"/>
                <w:szCs w:val="21"/>
              </w:rPr>
              <w:t xml:space="preserve">“Summarize the decision log.”</w:t>
            </w:r>
          </w:p>
        </w:tc>
      </w:tr>
    </w:tbl>
    <w:tbl>
      <w:tblPr>
        <w:tblW w:type="dxa" w:w="9360"/>
        <w:tblBorders>
          <w:top w:val="single" w:color="F5F8FA" w:sz="2"/>
          <w:left w:val="single" w:color="0F7A7A" w:sz="20"/>
          <w:bottom w:val="single" w:color="F5F8FA" w:sz="2"/>
          <w:right w:val="single" w:color="F5F8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8F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33"/>
                <w:sz w:val="21"/>
                <w:szCs w:val="21"/>
              </w:rPr>
              <w:t xml:space="preserve">“Reconcile these new meeting notes.”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How it works</w:t>
      </w:r>
    </w:p>
    <w:p>
      <w:pPr>
        <w:spacing w:after="160" w:before="140"/>
        <w:jc w:val="center"/>
      </w:pPr>
      <w:r>
        <w:drawing>
          <wp:inline distT="0" distB="0" distL="0" distR="0">
            <wp:extent cx="51435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3A5F" w:sz="14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0F7A7A"/>
          <w:sz w:val="30"/>
          <w:szCs w:val="30"/>
        </w:rPr>
        <w:t xml:space="preserve">3  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What you get (output options)</w:t>
      </w:r>
    </w:p>
    <w:p>
      <w:pPr>
        <w:spacing w:after="100" w:line="276"/>
      </w:pPr>
      <w:r>
        <w:rPr>
          <w:rFonts w:ascii="Calibri" w:cs="Calibri" w:eastAsia="Calibri" w:hAnsi="Calibri"/>
          <w:color w:val="1A2733"/>
          <w:sz w:val="21"/>
          <w:szCs w:val="21"/>
        </w:rPr>
        <w:t xml:space="preserve">Depending on the environment configuration, the BRD is delivered in one of two ways:</w:t>
      </w:r>
    </w:p>
    <w:tbl>
      <w:tblPr>
        <w:tblW w:type="dxa" w:w="9360"/>
        <w:tblBorders>
          <w:top w:val="single" w:color="F5F8FA" w:sz="2"/>
          <w:left w:val="single" w:color="2E5E8C" w:sz="28"/>
          <w:bottom w:val="single" w:color="F5F8FA" w:sz="2"/>
          <w:right w:val="single" w:color="F5F8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8FA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1"/>
                <w:szCs w:val="21"/>
              </w:rPr>
              <w:t xml:space="preserve">Option A — Word document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The agent generates a downloadable Microsoft Word (.docx) BRD in the standard IQVIA structure. </w:t>
            </w: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(This option depends on the document-generation flow, which is pending environment/permission setup.)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5F8FA" w:sz="2"/>
          <w:left w:val="single" w:color="0F7A7A" w:sz="28"/>
          <w:bottom w:val="single" w:color="F5F8FA" w:sz="2"/>
          <w:right w:val="single" w:color="F5F8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8FA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Option B — On-screen text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The agent returns the full BRD as structured on-screen text that you copy into a Word document and apply the IQVIA template. This is the interim output while Option A is being enabled.</w:t>
            </w:r>
          </w:p>
        </w:tc>
      </w:tr>
    </w:tbl>
    <w:p>
      <w:pPr>
        <w:pBdr>
          <w:bottom w:val="single" w:color="1F3A5F" w:sz="14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0F7A7A"/>
          <w:sz w:val="30"/>
          <w:szCs w:val="30"/>
        </w:rPr>
        <w:t xml:space="preserve">4  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What the agent is not (limitations &amp; guardrails)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Not a replacement for the BA/EM.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It accelerates drafting; every BRD needs human review and sign-off.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It will not invent requirements.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Anything missing is marked [TBD – User Confirmation Required], never guessed.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It will not override the SOW or TPA.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Conflicts are flagged as “Requires Contract Clarification,” not resolved by the agent.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Grounded only in what you provide.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It does not pull from your full mailbox, Teams or the open web.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Word output only.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It does not produce PowerPoint, Excel or other formats.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Questions come only from the approved question bank.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It will not ask beyond it.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Compliance guardrails.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CRM-to-Rx relationships are treated as descriptive only (never causal); it honours the TPA and does not enable resale of IQVIA data.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Not an analytics or build tool. 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It documents requirements — it does not run queries or build the dashboards.</w:t>
      </w:r>
    </w:p>
    <w:p>
      <w:r>
        <w:br w:type="page"/>
      </w:r>
    </w:p>
    <w:p>
      <w:pPr>
        <w:pBdr>
          <w:bottom w:val="single" w:color="1F3A5F" w:sz="14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0F7A7A"/>
          <w:sz w:val="30"/>
          <w:szCs w:val="30"/>
        </w:rPr>
        <w:t xml:space="preserve">5  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How to access the agent</w:t>
      </w:r>
    </w:p>
    <w:p>
      <w:pPr>
        <w:spacing w:after="100" w:line="276"/>
      </w:pPr>
      <w:r>
        <w:rPr>
          <w:rFonts w:ascii="Calibri" w:cs="Calibri" w:eastAsia="Calibri" w:hAnsi="Calibri"/>
          <w:color w:val="1A2733"/>
          <w:sz w:val="21"/>
          <w:szCs w:val="21"/>
        </w:rPr>
        <w:t xml:space="preserve">The following are the ways to access the BRD Agent. </w:t>
      </w: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Keep the method your team uses and delete the others.</w:t>
      </w:r>
    </w:p>
    <w:tbl>
      <w:tblPr>
        <w:tblW w:type="dxa" w:w="9360"/>
        <w:tblBorders>
          <w:top w:val="single" w:color="FCF4E9" w:sz="2"/>
          <w:left w:val="single" w:color="B4670A" w:sz="28"/>
          <w:bottom w:val="single" w:color="FCF4E9" w:sz="2"/>
          <w:right w:val="single" w:color="FCF4E9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4E9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670A"/>
                <w:sz w:val="21"/>
                <w:szCs w:val="21"/>
              </w:rPr>
              <w:t xml:space="preserve">Before you start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You need your IQVIA (Microsoft 365) work account. If an installation link is required, it is: </w:t>
            </w:r>
            <w:r>
              <w:rPr>
                <w:rFonts w:ascii="Calibri" w:cs="Calibri" w:eastAsia="Calibri" w:hAnsi="Calibri"/>
                <w:i/>
                <w:iCs/>
                <w:color w:val="5A6B7B"/>
                <w:sz w:val="21"/>
                <w:szCs w:val="21"/>
              </w:rPr>
              <w:t xml:space="preserve">[paste installation link]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. The agent tile may appear under its published name.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Way A — Microsoft Teams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E8C" w:color="auto" w:val="clear"/>
        </w:rPr>
        <w:t xml:space="preserve">Step 1  </w:t>
      </w: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  Open the installation link for Microsoft Teams.</w:t>
      </w:r>
    </w:p>
    <w:p>
      <w:pPr>
        <w:spacing w:after="40" w:line="276"/>
      </w:pPr>
      <w:r>
        <w:rPr>
          <w:rFonts w:ascii="Calibri" w:cs="Calibri" w:eastAsia="Calibri" w:hAnsi="Calibri"/>
          <w:color w:val="1A2733"/>
          <w:sz w:val="21"/>
          <w:szCs w:val="21"/>
        </w:rPr>
        <w:t xml:space="preserve">Link: </w:t>
      </w: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[paste Teams installation link]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E8C" w:color="auto" w:val="clear"/>
        </w:rPr>
        <w:t xml:space="preserve">Step 2  </w:t>
      </w: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  Select “Add” from the installation prompt.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E8C" w:color="auto" w:val="clear"/>
        </w:rPr>
        <w:t xml:space="preserve">Step 3  </w:t>
      </w: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  When you see “Added successfully,” choose “Open” (or “Open with Copilot”).</w:t>
      </w:r>
    </w:p>
    <w:tbl>
      <w:tblPr>
        <w:tblW w:type="dxa" w:w="9360"/>
        <w:tblBorders>
          <w:top w:val="dashed" w:color="AEBAC6" w:sz="6"/>
          <w:left w:val="dashed" w:color="AEBAC6" w:sz="6"/>
          <w:bottom w:val="dashed" w:color="AEBAC6" w:sz="6"/>
          <w:right w:val="dashed" w:color="AEBAC6" w:sz="6"/>
          <w:insideH w:val="dashed" w:color="AEBAC6" w:sz="6"/>
          <w:insideV w:val="dashed" w:color="AEBAC6" w:sz="6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shd w:fill="F8FA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B7B"/>
                <w:sz w:val="19"/>
                <w:szCs w:val="19"/>
              </w:rPr>
              <w:t xml:space="preserve">[ Paste screenshot: “Added successfully” dialog with Open ]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E8C" w:color="auto" w:val="clear"/>
        </w:rPr>
        <w:t xml:space="preserve">Step 4  </w:t>
      </w: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  The agent now appears in your Teams apps.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0F7A7A"/>
          <w:sz w:val="20"/>
          <w:szCs w:val="20"/>
        </w:rPr>
        <w:t xml:space="preserve">Recommended  </w:t>
      </w:r>
      <w:r>
        <w:rPr>
          <w:rFonts w:ascii="Calibri" w:cs="Calibri" w:eastAsia="Calibri" w:hAnsi="Calibri"/>
          <w:color w:val="1A2733"/>
          <w:sz w:val="20"/>
          <w:szCs w:val="20"/>
        </w:rPr>
        <w:t xml:space="preserve">Pin the agent: </w:t>
      </w:r>
      <w:r>
        <w:rPr>
          <w:rFonts w:ascii="Calibri" w:cs="Calibri" w:eastAsia="Calibri" w:hAnsi="Calibri"/>
          <w:color w:val="1A2733"/>
          <w:sz w:val="20"/>
          <w:szCs w:val="20"/>
        </w:rPr>
        <w:t xml:space="preserve">right-click the app in the Teams left navigation and select </w:t>
      </w:r>
      <w:r>
        <w:rPr>
          <w:rFonts w:ascii="Calibri" w:cs="Calibri" w:eastAsia="Calibri" w:hAnsi="Calibri"/>
          <w:i/>
          <w:iCs/>
          <w:color w:val="1A2733"/>
          <w:sz w:val="20"/>
          <w:szCs w:val="20"/>
        </w:rPr>
        <w:t xml:space="preserve">Pin</w:t>
      </w:r>
      <w:r>
        <w:rPr>
          <w:rFonts w:ascii="Calibri" w:cs="Calibri" w:eastAsia="Calibri" w:hAnsi="Calibri"/>
          <w:color w:val="1A2733"/>
          <w:sz w:val="20"/>
          <w:szCs w:val="20"/>
        </w:rPr>
        <w:t xml:space="preserve">.</w:t>
      </w:r>
    </w:p>
    <w:tbl>
      <w:tblPr>
        <w:tblW w:type="dxa" w:w="9360"/>
        <w:tblBorders>
          <w:top w:val="dashed" w:color="AEBAC6" w:sz="6"/>
          <w:left w:val="dashed" w:color="AEBAC6" w:sz="6"/>
          <w:bottom w:val="dashed" w:color="AEBAC6" w:sz="6"/>
          <w:right w:val="dashed" w:color="AEBAC6" w:sz="6"/>
          <w:insideH w:val="dashed" w:color="AEBAC6" w:sz="6"/>
          <w:insideV w:val="dashed" w:color="AEBAC6" w:sz="6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shd w:fill="F8FA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B7B"/>
                <w:sz w:val="19"/>
                <w:szCs w:val="19"/>
              </w:rPr>
              <w:t xml:space="preserve">[ Paste screenshot: right-click app → Pin ]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0F7A7A"/>
          <w:sz w:val="20"/>
          <w:szCs w:val="20"/>
        </w:rPr>
        <w:t xml:space="preserve">Recommended  </w:t>
      </w:r>
      <w:r>
        <w:rPr>
          <w:rFonts w:ascii="Calibri" w:cs="Calibri" w:eastAsia="Calibri" w:hAnsi="Calibri"/>
          <w:color w:val="1A2733"/>
          <w:sz w:val="20"/>
          <w:szCs w:val="20"/>
        </w:rPr>
        <w:t xml:space="preserve">Favorite the chat: </w:t>
      </w:r>
      <w:r>
        <w:rPr>
          <w:rFonts w:ascii="Calibri" w:cs="Calibri" w:eastAsia="Calibri" w:hAnsi="Calibri"/>
          <w:color w:val="1A2733"/>
          <w:sz w:val="20"/>
          <w:szCs w:val="20"/>
        </w:rPr>
        <w:t xml:space="preserve">right-click the chat in the left navigation and select </w:t>
      </w:r>
      <w:r>
        <w:rPr>
          <w:rFonts w:ascii="Calibri" w:cs="Calibri" w:eastAsia="Calibri" w:hAnsi="Calibri"/>
          <w:i/>
          <w:iCs/>
          <w:color w:val="1A2733"/>
          <w:sz w:val="20"/>
          <w:szCs w:val="20"/>
        </w:rPr>
        <w:t xml:space="preserve">Move to → Favorites</w:t>
      </w:r>
      <w:r>
        <w:rPr>
          <w:rFonts w:ascii="Calibri" w:cs="Calibri" w:eastAsia="Calibri" w:hAnsi="Calibri"/>
          <w:color w:val="1A2733"/>
          <w:sz w:val="20"/>
          <w:szCs w:val="20"/>
        </w:rPr>
        <w:t xml:space="preserve">.</w:t>
      </w:r>
    </w:p>
    <w:tbl>
      <w:tblPr>
        <w:tblW w:type="dxa" w:w="9360"/>
        <w:tblBorders>
          <w:top w:val="dashed" w:color="AEBAC6" w:sz="6"/>
          <w:left w:val="dashed" w:color="AEBAC6" w:sz="6"/>
          <w:bottom w:val="dashed" w:color="AEBAC6" w:sz="6"/>
          <w:right w:val="dashed" w:color="AEBAC6" w:sz="6"/>
          <w:insideH w:val="dashed" w:color="AEBAC6" w:sz="6"/>
          <w:insideV w:val="dashed" w:color="AEBAC6" w:sz="6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shd w:fill="F8FA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B7B"/>
                <w:sz w:val="19"/>
                <w:szCs w:val="19"/>
              </w:rPr>
              <w:t xml:space="preserve">[ Paste screenshot: Move to → Favorites ]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Way B — Microsoft 365 Copilot app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E8C" w:color="auto" w:val="clear"/>
        </w:rPr>
        <w:t xml:space="preserve">Step 1  </w:t>
      </w: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  Open the installation link for the M365 Copilot app.</w:t>
      </w:r>
    </w:p>
    <w:p>
      <w:pPr>
        <w:spacing w:after="40" w:line="276"/>
      </w:pPr>
      <w:r>
        <w:rPr>
          <w:rFonts w:ascii="Calibri" w:cs="Calibri" w:eastAsia="Calibri" w:hAnsi="Calibri"/>
          <w:color w:val="1A2733"/>
          <w:sz w:val="21"/>
          <w:szCs w:val="21"/>
        </w:rPr>
        <w:t xml:space="preserve">Link: </w:t>
      </w: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[paste M365 Copilot installation link]</w:t>
      </w:r>
    </w:p>
    <w:tbl>
      <w:tblPr>
        <w:tblW w:type="dxa" w:w="9360"/>
        <w:tblBorders>
          <w:top w:val="single" w:color="F5F8FA" w:sz="2"/>
          <w:left w:val="single" w:color="2E5E8C" w:sz="28"/>
          <w:bottom w:val="single" w:color="F5F8FA" w:sz="2"/>
          <w:right w:val="single" w:color="F5F8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8FA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2733"/>
                <w:sz w:val="21"/>
                <w:szCs w:val="21"/>
              </w:rPr>
              <w:t xml:space="preserve">Note: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the link opens in your browser. Adding the agent there also makes it available in the M365 Copilot app.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E8C" w:color="auto" w:val="clear"/>
        </w:rPr>
        <w:t xml:space="preserve">Step 2  </w:t>
      </w: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  Select “Add” from the installation prompt.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E8C" w:color="auto" w:val="clear"/>
        </w:rPr>
        <w:t xml:space="preserve">Step 3  </w:t>
      </w: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  Choose “Open” to start using the agent.</w:t>
      </w:r>
    </w:p>
    <w:tbl>
      <w:tblPr>
        <w:tblW w:type="dxa" w:w="9360"/>
        <w:tblBorders>
          <w:top w:val="dashed" w:color="AEBAC6" w:sz="6"/>
          <w:left w:val="dashed" w:color="AEBAC6" w:sz="6"/>
          <w:bottom w:val="dashed" w:color="AEBAC6" w:sz="6"/>
          <w:right w:val="dashed" w:color="AEBAC6" w:sz="6"/>
          <w:insideH w:val="dashed" w:color="AEBAC6" w:sz="6"/>
          <w:insideV w:val="dashed" w:color="AEBAC6" w:sz="6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shd w:fill="F8FA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B7B"/>
                <w:sz w:val="19"/>
                <w:szCs w:val="19"/>
              </w:rPr>
              <w:t xml:space="preserve">[ Paste screenshot: install prompt / Open ]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0F7A7A"/>
          <w:sz w:val="20"/>
          <w:szCs w:val="20"/>
        </w:rPr>
        <w:t xml:space="preserve">Recommended  </w:t>
      </w:r>
      <w:r>
        <w:rPr>
          <w:rFonts w:ascii="Calibri" w:cs="Calibri" w:eastAsia="Calibri" w:hAnsi="Calibri"/>
          <w:color w:val="1A2733"/>
          <w:sz w:val="20"/>
          <w:szCs w:val="20"/>
        </w:rPr>
        <w:t xml:space="preserve">Pin or favorite </w:t>
      </w:r>
      <w:r>
        <w:rPr>
          <w:rFonts w:ascii="Calibri" w:cs="Calibri" w:eastAsia="Calibri" w:hAnsi="Calibri"/>
          <w:color w:val="1A2733"/>
          <w:sz w:val="20"/>
          <w:szCs w:val="20"/>
        </w:rPr>
        <w:t xml:space="preserve">the agent the same way as in Teams for quick access.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Way C — Direct link (optional)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E8C" w:color="auto" w:val="clear"/>
        </w:rPr>
        <w:t xml:space="preserve">Step 1  </w:t>
      </w:r>
      <w:r>
        <w:rPr>
          <w:rFonts w:ascii="Calibri" w:cs="Calibri" w:eastAsia="Calibri" w:hAnsi="Calibri"/>
          <w:b/>
          <w:bCs/>
          <w:color w:val="1A2733"/>
          <w:sz w:val="21"/>
          <w:szCs w:val="21"/>
        </w:rPr>
        <w:t xml:space="preserve">  Open the agent link in your browser and start chatting.</w:t>
      </w:r>
    </w:p>
    <w:p>
      <w:pPr>
        <w:spacing w:after="40" w:line="276"/>
      </w:pPr>
      <w:r>
        <w:rPr>
          <w:rFonts w:ascii="Calibri" w:cs="Calibri" w:eastAsia="Calibri" w:hAnsi="Calibri"/>
          <w:color w:val="1A2733"/>
          <w:sz w:val="21"/>
          <w:szCs w:val="21"/>
        </w:rPr>
        <w:t xml:space="preserve">Link: </w:t>
      </w: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[paste direct agent link]</w:t>
      </w:r>
    </w:p>
    <w:p>
      <w:pPr>
        <w:spacing w:after="160"/>
      </w:pPr>
    </w:p>
    <w:p>
      <w:pPr>
        <w:pBdr>
          <w:top w:val="single" w:color="D6DEE6" w:sz="8" w:space="8"/>
        </w:pBd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Support &amp; feedback</w:t>
      </w:r>
    </w:p>
    <w:p>
      <w:pPr>
        <w:spacing w:after="100" w:line="276"/>
      </w:pPr>
      <w:r>
        <w:rPr>
          <w:rFonts w:ascii="Calibri" w:cs="Calibri" w:eastAsia="Calibri" w:hAnsi="Calibri"/>
          <w:color w:val="1A2733"/>
          <w:sz w:val="21"/>
          <w:szCs w:val="21"/>
        </w:rPr>
        <w:t xml:space="preserve">Questions or issues? Contact </w:t>
      </w: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[owner / support channel]</w:t>
      </w:r>
      <w:r>
        <w:rPr>
          <w:rFonts w:ascii="Calibri" w:cs="Calibri" w:eastAsia="Calibri" w:hAnsi="Calibri"/>
          <w:color w:val="1A2733"/>
          <w:sz w:val="21"/>
          <w:szCs w:val="21"/>
        </w:rPr>
        <w:t xml:space="preserve">. First run tip: upload your SOW, TPA and notes when prompted, then follow the guided questions.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c0d24e14543651b29c20b4c4a8f5440d2a51af.png"/><Relationship Id="rId8" Type="http://schemas.openxmlformats.org/officeDocument/2006/relationships/image" Target="media/801864b3e814a324371a50f91544cb96ffdced0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2026-09-29T10:59:53.338Z</dcterms:created>
  <dcterms:modified xsi:type="dcterms:W3CDTF">2026-09-29T10:59:53.350Z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