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 V10 Master Documentation Blueprint</w:t>
      </w:r>
    </w:p>
    <w:p>
      <w:r>
        <w:t>Master structure for the complete Bud V10 production documentation.</w:t>
      </w:r>
    </w:p>
    <w:p>
      <w:pPr>
        <w:pStyle w:val="Heading2"/>
      </w:pPr>
      <w:r>
        <w:t>Volume 1 — Vision &amp; Philosophy</w:t>
      </w:r>
    </w:p>
    <w:p>
      <w:r>
        <w:t>Production-ready specification for Vision &amp; Philosophy.</w:t>
      </w:r>
    </w:p>
    <w:p>
      <w:pPr>
        <w:pStyle w:val="Heading2"/>
      </w:pPr>
      <w:r>
        <w:t>Volume 2 — Complete Design System</w:t>
      </w:r>
    </w:p>
    <w:p>
      <w:r>
        <w:t>Production-ready specification for Complete Design System.</w:t>
      </w:r>
    </w:p>
    <w:p>
      <w:pPr>
        <w:pStyle w:val="Heading2"/>
      </w:pPr>
      <w:r>
        <w:t>Volume 3 — Bud Intelligence</w:t>
      </w:r>
    </w:p>
    <w:p>
      <w:r>
        <w:t>Production-ready specification for Bud Intelligence.</w:t>
      </w:r>
    </w:p>
    <w:p>
      <w:pPr>
        <w:pStyle w:val="Heading2"/>
      </w:pPr>
      <w:r>
        <w:t>Volume 4 — Spark Intelligence Engine</w:t>
      </w:r>
    </w:p>
    <w:p>
      <w:r>
        <w:t>Production-ready specification for Spark Intelligence Engine.</w:t>
      </w:r>
    </w:p>
    <w:p>
      <w:pPr>
        <w:pStyle w:val="Heading2"/>
      </w:pPr>
      <w:r>
        <w:t>Volume 5 — UNIBUD Learning Platform</w:t>
      </w:r>
    </w:p>
    <w:p>
      <w:r>
        <w:t>Production-ready specification for UNIBUD Learning Platform.</w:t>
      </w:r>
    </w:p>
    <w:p>
      <w:pPr>
        <w:pStyle w:val="Heading2"/>
      </w:pPr>
      <w:r>
        <w:t>Volume 6 — Communication Platform</w:t>
      </w:r>
    </w:p>
    <w:p>
      <w:r>
        <w:t>Production-ready specification for Communication Platform.</w:t>
      </w:r>
    </w:p>
    <w:p>
      <w:pPr>
        <w:pStyle w:val="Heading2"/>
      </w:pPr>
      <w:r>
        <w:t>Volume 7 — Dashboards</w:t>
      </w:r>
    </w:p>
    <w:p>
      <w:r>
        <w:t>Production-ready specification for Dashboards.</w:t>
      </w:r>
    </w:p>
    <w:p>
      <w:pPr>
        <w:pStyle w:val="Heading2"/>
      </w:pPr>
      <w:r>
        <w:t>Volume 8 — Administration</w:t>
      </w:r>
    </w:p>
    <w:p>
      <w:r>
        <w:t>Production-ready specification for Administration.</w:t>
      </w:r>
    </w:p>
    <w:p>
      <w:pPr>
        <w:pStyle w:val="Heading2"/>
      </w:pPr>
      <w:r>
        <w:t>Volume 9 — Backend Architecture</w:t>
      </w:r>
    </w:p>
    <w:p>
      <w:r>
        <w:t>Production-ready specification for Backend Architecture.</w:t>
      </w:r>
    </w:p>
    <w:p>
      <w:pPr>
        <w:pStyle w:val="Heading2"/>
      </w:pPr>
      <w:r>
        <w:t>Volume 10 — Production Engineering</w:t>
      </w:r>
    </w:p>
    <w:p>
      <w:r>
        <w:t>Production-ready specification for Production Engineering.</w:t>
      </w:r>
    </w:p>
    <w:p>
      <w:pPr>
        <w:pStyle w:val="Heading2"/>
      </w:pPr>
      <w:r>
        <w:t>Volume 11 — AI Builder Prompts</w:t>
      </w:r>
    </w:p>
    <w:p>
      <w:r>
        <w:t>Production-ready specification for AI Builder Prompts.</w:t>
      </w:r>
    </w:p>
    <w:p>
      <w:pPr>
        <w:pStyle w:val="Heading2"/>
      </w:pPr>
      <w:r>
        <w:t>Volume 12 — Future Roadmap</w:t>
      </w:r>
    </w:p>
    <w:p>
      <w:r>
        <w:t>Production-ready specification for Future Roadmap.</w:t>
      </w:r>
    </w:p>
    <w:p>
      <w:pPr>
        <w:pStyle w:val="Heading2"/>
      </w:pPr>
      <w:r>
        <w:t>Final Goal</w:t>
      </w:r>
    </w:p>
    <w:p>
      <w:r>
        <w:t>Single source of truth for Bud V10, Spark and UNIBUD.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